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474" w:type="dxa"/>
        <w:jc w:val="center"/>
        <w:tblLayout w:type="fixed"/>
        <w:tblLook w:val="0000" w:firstRow="0" w:lastRow="0" w:firstColumn="0" w:lastColumn="0" w:noHBand="0" w:noVBand="0"/>
      </w:tblPr>
      <w:tblGrid>
        <w:gridCol w:w="4525"/>
        <w:gridCol w:w="7949"/>
      </w:tblGrid>
      <w:tr w:rsidR="005E54B6" w:rsidRPr="000F1EC3" w14:paraId="354D3A6C" w14:textId="77777777" w:rsidTr="00845D33">
        <w:trPr>
          <w:trHeight w:val="303"/>
          <w:jc w:val="center"/>
        </w:trPr>
        <w:tc>
          <w:tcPr>
            <w:tcW w:w="4525" w:type="dxa"/>
          </w:tcPr>
          <w:p w14:paraId="4910B463" w14:textId="4DE2113A" w:rsidR="005E54B6" w:rsidRPr="000F1EC3" w:rsidRDefault="005E54B6" w:rsidP="005E54B6">
            <w:pPr>
              <w:pStyle w:val="Heading3"/>
              <w:jc w:val="center"/>
              <w:rPr>
                <w:rFonts w:ascii="Times New Roman" w:eastAsia="Times New Roman" w:hAnsi="Times New Roman" w:cs="Times New Roman"/>
                <w:b/>
                <w:bCs/>
                <w:color w:val="auto"/>
                <w:sz w:val="26"/>
              </w:rPr>
            </w:pPr>
            <w:r w:rsidRPr="000F1EC3">
              <w:rPr>
                <w:rFonts w:ascii="Times New Roman" w:eastAsia="Times New Roman" w:hAnsi="Times New Roman" w:cs="Times New Roman"/>
                <w:b/>
                <w:bCs/>
                <w:noProof/>
                <w:color w:val="auto"/>
                <w:sz w:val="26"/>
              </w:rPr>
              <mc:AlternateContent>
                <mc:Choice Requires="wps">
                  <w:drawing>
                    <wp:anchor distT="0" distB="0" distL="114300" distR="114300" simplePos="0" relativeHeight="251661312" behindDoc="0" locked="0" layoutInCell="1" allowOverlap="1" wp14:anchorId="1BB1978A" wp14:editId="73F3228C">
                      <wp:simplePos x="0" y="0"/>
                      <wp:positionH relativeFrom="column">
                        <wp:posOffset>949325</wp:posOffset>
                      </wp:positionH>
                      <wp:positionV relativeFrom="paragraph">
                        <wp:posOffset>343535</wp:posOffset>
                      </wp:positionV>
                      <wp:extent cx="831215" cy="0"/>
                      <wp:effectExtent l="0" t="0" r="0" b="0"/>
                      <wp:wrapNone/>
                      <wp:docPr id="1506876521" name="Straight Connector 1"/>
                      <wp:cNvGraphicFramePr/>
                      <a:graphic xmlns:a="http://schemas.openxmlformats.org/drawingml/2006/main">
                        <a:graphicData uri="http://schemas.microsoft.com/office/word/2010/wordprocessingShape">
                          <wps:wsp>
                            <wps:cNvCnPr/>
                            <wps:spPr>
                              <a:xfrm>
                                <a:off x="0" y="0"/>
                                <a:ext cx="831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DA5059"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4.75pt,27.05pt" to="140.2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CjNmAEAAIcDAAAOAAAAZHJzL2Uyb0RvYy54bWysU8tu2zAQvAfIPxC8x5JcpA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" strokecolor="black [3200]" strokeweight=".5pt">
                      <v:stroke joinstyle="miter"/>
                    </v:line>
                  </w:pict>
                </mc:Fallback>
              </mc:AlternateContent>
            </w:r>
            <w:r w:rsidRPr="000F1EC3">
              <w:rPr>
                <w:rFonts w:ascii="Times New Roman" w:eastAsia="Times New Roman" w:hAnsi="Times New Roman" w:cs="Times New Roman"/>
                <w:b/>
                <w:bCs/>
                <w:color w:val="auto"/>
                <w:sz w:val="26"/>
              </w:rPr>
              <w:t>BỘ XÂY DỰNG</w:t>
            </w:r>
          </w:p>
          <w:p w14:paraId="20E523FE" w14:textId="27DF9CD3" w:rsidR="005E54B6" w:rsidRPr="000F1EC3" w:rsidRDefault="005E54B6" w:rsidP="005E54B6">
            <w:pPr>
              <w:pStyle w:val="Heading3"/>
              <w:jc w:val="center"/>
              <w:rPr>
                <w:rFonts w:ascii="Times New Roman" w:eastAsia="Times New Roman" w:hAnsi="Times New Roman" w:cs="Times New Roman"/>
                <w:b/>
                <w:bCs/>
                <w:color w:val="auto"/>
                <w:sz w:val="26"/>
              </w:rPr>
            </w:pPr>
          </w:p>
        </w:tc>
        <w:tc>
          <w:tcPr>
            <w:tcW w:w="7949" w:type="dxa"/>
          </w:tcPr>
          <w:p w14:paraId="11A27B94" w14:textId="77777777" w:rsidR="005E54B6" w:rsidRPr="000F1EC3" w:rsidRDefault="005E54B6" w:rsidP="005E54B6">
            <w:pPr>
              <w:jc w:val="center"/>
              <w:rPr>
                <w:rFonts w:ascii="Times New Roman" w:hAnsi="Times New Roman"/>
                <w:b/>
                <w:bCs/>
                <w:sz w:val="26"/>
                <w:szCs w:val="28"/>
              </w:rPr>
            </w:pPr>
            <w:r w:rsidRPr="000F1EC3">
              <w:rPr>
                <w:rFonts w:ascii="Times New Roman" w:hAnsi="Times New Roman"/>
                <w:b/>
                <w:bCs/>
                <w:sz w:val="26"/>
                <w:szCs w:val="28"/>
              </w:rPr>
              <w:t>CỘNG HOÀ XÃ HỘI CHỦ NGHĨA VIỆT NAM</w:t>
            </w:r>
          </w:p>
          <w:p w14:paraId="216B8800" w14:textId="77777777" w:rsidR="005E54B6" w:rsidRPr="000F1EC3" w:rsidRDefault="005E54B6" w:rsidP="005E54B6">
            <w:pPr>
              <w:jc w:val="center"/>
              <w:rPr>
                <w:rFonts w:ascii="Times New Roman" w:hAnsi="Times New Roman"/>
                <w:b/>
                <w:bCs/>
                <w:sz w:val="26"/>
                <w:szCs w:val="28"/>
              </w:rPr>
            </w:pPr>
            <w:r w:rsidRPr="000F1EC3">
              <w:rPr>
                <w:rFonts w:ascii="Times New Roman" w:hAnsi="Times New Roman"/>
                <w:b/>
                <w:bCs/>
                <w:noProof/>
                <w:szCs w:val="28"/>
              </w:rPr>
              <mc:AlternateContent>
                <mc:Choice Requires="wps">
                  <w:drawing>
                    <wp:anchor distT="0" distB="0" distL="114300" distR="114300" simplePos="0" relativeHeight="251660288" behindDoc="0" locked="0" layoutInCell="1" allowOverlap="1" wp14:anchorId="1F20EA84" wp14:editId="4CD17CE7">
                      <wp:simplePos x="0" y="0"/>
                      <wp:positionH relativeFrom="column">
                        <wp:posOffset>1591310</wp:posOffset>
                      </wp:positionH>
                      <wp:positionV relativeFrom="paragraph">
                        <wp:posOffset>238125</wp:posOffset>
                      </wp:positionV>
                      <wp:extent cx="179705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1797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5DC3C4D"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5.3pt,18.75pt" to="266.8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" strokecolor="black [3200]" strokeweight=".5pt">
                      <v:stroke joinstyle="miter"/>
                    </v:line>
                  </w:pict>
                </mc:Fallback>
              </mc:AlternateContent>
            </w:r>
            <w:r w:rsidRPr="000F1EC3">
              <w:rPr>
                <w:rFonts w:ascii="Times New Roman" w:hAnsi="Times New Roman"/>
                <w:b/>
                <w:bCs/>
                <w:sz w:val="26"/>
                <w:szCs w:val="28"/>
              </w:rPr>
              <w:t>Độc lập - Tự do - Hạnh phúc</w:t>
            </w:r>
          </w:p>
        </w:tc>
      </w:tr>
      <w:tr w:rsidR="005E54B6" w:rsidRPr="000F1EC3" w14:paraId="4DD178E0" w14:textId="77777777" w:rsidTr="00845D33">
        <w:trPr>
          <w:trHeight w:val="277"/>
          <w:jc w:val="center"/>
        </w:trPr>
        <w:tc>
          <w:tcPr>
            <w:tcW w:w="4525" w:type="dxa"/>
          </w:tcPr>
          <w:p w14:paraId="6EC71394" w14:textId="1B595A18" w:rsidR="005E54B6" w:rsidRPr="000F1EC3" w:rsidRDefault="005E54B6" w:rsidP="00845D33">
            <w:pPr>
              <w:jc w:val="center"/>
              <w:rPr>
                <w:rFonts w:ascii="Times New Roman" w:hAnsi="Times New Roman"/>
                <w:b/>
                <w:bCs/>
                <w:sz w:val="26"/>
                <w:szCs w:val="28"/>
              </w:rPr>
            </w:pPr>
          </w:p>
        </w:tc>
        <w:tc>
          <w:tcPr>
            <w:tcW w:w="7949" w:type="dxa"/>
          </w:tcPr>
          <w:p w14:paraId="66470681" w14:textId="77777777" w:rsidR="005E54B6" w:rsidRPr="000F1EC3" w:rsidRDefault="005E54B6" w:rsidP="005E54B6">
            <w:pPr>
              <w:rPr>
                <w:rFonts w:ascii="Times New Roman" w:hAnsi="Times New Roman"/>
                <w:b/>
                <w:bCs/>
                <w:szCs w:val="28"/>
              </w:rPr>
            </w:pPr>
          </w:p>
        </w:tc>
      </w:tr>
      <w:tr w:rsidR="005E54B6" w:rsidRPr="000F1EC3" w14:paraId="1C22776F" w14:textId="77777777" w:rsidTr="00845D33">
        <w:trPr>
          <w:trHeight w:val="445"/>
          <w:jc w:val="center"/>
        </w:trPr>
        <w:tc>
          <w:tcPr>
            <w:tcW w:w="4525" w:type="dxa"/>
          </w:tcPr>
          <w:p w14:paraId="7817066F" w14:textId="77777777" w:rsidR="005E54B6" w:rsidRPr="000F1EC3" w:rsidRDefault="005E54B6" w:rsidP="005E54B6">
            <w:pPr>
              <w:pStyle w:val="BodyText"/>
              <w:jc w:val="left"/>
              <w:rPr>
                <w:rFonts w:ascii="Times New Roman" w:hAnsi="Times New Roman"/>
                <w:b/>
                <w:bCs/>
                <w:szCs w:val="28"/>
              </w:rPr>
            </w:pPr>
          </w:p>
        </w:tc>
        <w:tc>
          <w:tcPr>
            <w:tcW w:w="7949" w:type="dxa"/>
          </w:tcPr>
          <w:p w14:paraId="265EC118" w14:textId="22B977B0" w:rsidR="005E54B6" w:rsidRPr="000F1EC3" w:rsidRDefault="005E54B6" w:rsidP="00845D33">
            <w:pPr>
              <w:jc w:val="center"/>
              <w:rPr>
                <w:rFonts w:ascii="Times New Roman" w:hAnsi="Times New Roman"/>
                <w:b/>
                <w:bCs/>
                <w:szCs w:val="28"/>
              </w:rPr>
            </w:pPr>
            <w:r w:rsidRPr="000F1EC3">
              <w:rPr>
                <w:rFonts w:ascii="Times New Roman" w:hAnsi="Times New Roman"/>
                <w:i/>
                <w:iCs/>
                <w:szCs w:val="28"/>
              </w:rPr>
              <w:t xml:space="preserve">     Hà Nội, ngày</w:t>
            </w:r>
            <w:r w:rsidR="000B0760" w:rsidRPr="000F1EC3">
              <w:rPr>
                <w:rFonts w:ascii="Times New Roman" w:hAnsi="Times New Roman"/>
                <w:i/>
                <w:iCs/>
                <w:szCs w:val="28"/>
              </w:rPr>
              <w:t xml:space="preserve"> 15</w:t>
            </w:r>
            <w:r w:rsidRPr="000F1EC3">
              <w:rPr>
                <w:rFonts w:ascii="Times New Roman" w:hAnsi="Times New Roman"/>
                <w:i/>
                <w:iCs/>
                <w:szCs w:val="28"/>
              </w:rPr>
              <w:t xml:space="preserve"> tháng </w:t>
            </w:r>
            <w:r w:rsidR="000B0760" w:rsidRPr="000F1EC3">
              <w:rPr>
                <w:rFonts w:ascii="Times New Roman" w:hAnsi="Times New Roman"/>
                <w:i/>
                <w:iCs/>
                <w:szCs w:val="28"/>
              </w:rPr>
              <w:t xml:space="preserve">5 </w:t>
            </w:r>
            <w:r w:rsidRPr="000F1EC3">
              <w:rPr>
                <w:rFonts w:ascii="Times New Roman" w:hAnsi="Times New Roman"/>
                <w:i/>
                <w:iCs/>
                <w:szCs w:val="28"/>
              </w:rPr>
              <w:t xml:space="preserve">năm 2026         </w:t>
            </w:r>
          </w:p>
        </w:tc>
      </w:tr>
    </w:tbl>
    <w:p w14:paraId="714C9C43" w14:textId="77777777" w:rsidR="005E54B6" w:rsidRPr="000F1EC3" w:rsidRDefault="005E54B6" w:rsidP="005E54B6">
      <w:pPr>
        <w:jc w:val="center"/>
        <w:rPr>
          <w:rFonts w:ascii="Times New Roman" w:hAnsi="Times New Roman"/>
          <w:b/>
          <w:szCs w:val="28"/>
          <w:lang w:val="fr-FR"/>
        </w:rPr>
      </w:pPr>
    </w:p>
    <w:p w14:paraId="2313A65C" w14:textId="77777777" w:rsidR="005E54B6" w:rsidRPr="000F1EC3" w:rsidRDefault="005E54B6" w:rsidP="005E54B6">
      <w:pPr>
        <w:jc w:val="center"/>
        <w:rPr>
          <w:rFonts w:ascii="Times New Roman" w:hAnsi="Times New Roman"/>
          <w:b/>
          <w:szCs w:val="28"/>
          <w:lang w:val="fr-FR"/>
        </w:rPr>
      </w:pPr>
      <w:r w:rsidRPr="000F1EC3">
        <w:rPr>
          <w:rFonts w:ascii="Times New Roman" w:hAnsi="Times New Roman"/>
          <w:b/>
          <w:szCs w:val="28"/>
          <w:lang w:val="fr-FR"/>
        </w:rPr>
        <w:t>BẢN TỔNG HỢP Ý KIẾN, TIẾP THU, GIẢI TRÌNH Ý KIẾN GÓP Ý</w:t>
      </w:r>
    </w:p>
    <w:p w14:paraId="43E1E02D" w14:textId="5F6F1B59" w:rsidR="005E54B6" w:rsidRPr="000F1EC3" w:rsidRDefault="005E54B6" w:rsidP="005E54B6">
      <w:pPr>
        <w:jc w:val="center"/>
        <w:rPr>
          <w:rFonts w:ascii="Times New Roman" w:hAnsi="Times New Roman"/>
          <w:b/>
          <w:szCs w:val="28"/>
          <w:lang w:val="fr-FR"/>
        </w:rPr>
      </w:pPr>
      <w:r w:rsidRPr="000F1EC3">
        <w:rPr>
          <w:rFonts w:ascii="Times New Roman" w:hAnsi="Times New Roman"/>
          <w:b/>
          <w:szCs w:val="28"/>
          <w:lang w:val="fr-FR"/>
        </w:rPr>
        <w:t>DỰ THẢO HỒ SƠ DỰ ÁN BỘ LUẬT HÀNG HẢI VÀ ĐƯỜNG THỦY VIỆT NAM</w:t>
      </w:r>
      <w:r w:rsidR="00845D33">
        <w:rPr>
          <w:rFonts w:ascii="Times New Roman" w:hAnsi="Times New Roman"/>
          <w:b/>
          <w:szCs w:val="28"/>
          <w:lang w:val="fr-FR"/>
        </w:rPr>
        <w:t xml:space="preserve"> (SỬA ĐỔI)</w:t>
      </w:r>
    </w:p>
    <w:p w14:paraId="4B62067F" w14:textId="77777777" w:rsidR="005E54B6" w:rsidRPr="000F1EC3" w:rsidRDefault="005E54B6" w:rsidP="005E54B6">
      <w:pPr>
        <w:pStyle w:val="BodyText"/>
        <w:spacing w:after="120" w:line="360" w:lineRule="exact"/>
        <w:jc w:val="both"/>
        <w:rPr>
          <w:rFonts w:ascii="Times New Roman" w:hAnsi="Times New Roman"/>
          <w:szCs w:val="28"/>
          <w:lang w:val="fr-FR"/>
        </w:rPr>
      </w:pPr>
      <w:r w:rsidRPr="000F1EC3">
        <w:rPr>
          <w:rFonts w:ascii="Times New Roman" w:hAnsi="Times New Roman"/>
          <w:b/>
          <w:noProof/>
          <w:szCs w:val="28"/>
        </w:rPr>
        <mc:AlternateContent>
          <mc:Choice Requires="wps">
            <w:drawing>
              <wp:anchor distT="4294967294" distB="4294967294" distL="114300" distR="114300" simplePos="0" relativeHeight="251659264" behindDoc="0" locked="0" layoutInCell="1" allowOverlap="1" wp14:anchorId="72D66D54" wp14:editId="272D13EC">
                <wp:simplePos x="0" y="0"/>
                <wp:positionH relativeFrom="column">
                  <wp:posOffset>3909060</wp:posOffset>
                </wp:positionH>
                <wp:positionV relativeFrom="paragraph">
                  <wp:posOffset>35560</wp:posOffset>
                </wp:positionV>
                <wp:extent cx="1710690" cy="0"/>
                <wp:effectExtent l="0" t="0" r="22860" b="19050"/>
                <wp:wrapNone/>
                <wp:docPr id="2" name="Line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06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05C2DC5" id="Line 44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8pt,2.8pt" to="44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">
                <o:lock v:ext="edit" shapetype="f"/>
              </v:line>
            </w:pict>
          </mc:Fallback>
        </mc:AlternateContent>
      </w:r>
    </w:p>
    <w:p w14:paraId="0AA02269" w14:textId="18C989A5" w:rsidR="005E54B6" w:rsidRPr="000F1EC3" w:rsidRDefault="005E54B6" w:rsidP="005E54B6">
      <w:pPr>
        <w:shd w:val="clear" w:color="auto" w:fill="FFFFFF"/>
        <w:spacing w:after="120" w:line="234" w:lineRule="atLeast"/>
        <w:ind w:firstLine="720"/>
        <w:jc w:val="both"/>
        <w:rPr>
          <w:rFonts w:ascii="Times New Roman" w:hAnsi="Times New Roman"/>
          <w:szCs w:val="28"/>
          <w:lang w:val="fr-FR"/>
        </w:rPr>
      </w:pPr>
      <w:r w:rsidRPr="000F1EC3">
        <w:rPr>
          <w:rFonts w:ascii="Times New Roman" w:hAnsi="Times New Roman"/>
          <w:szCs w:val="28"/>
          <w:lang w:val="fr-FR"/>
        </w:rPr>
        <w:tab/>
        <w:t>Căn cứ Luật Ban hành văn bản quy phạm pháp luật, Bộ Xây dựng đã tổ chức lấy ý kiến đối với hồ sơ dự án Bộ luật Hàng hải và Đường thủy Việt Nam</w:t>
      </w:r>
      <w:r w:rsidR="00845D33">
        <w:rPr>
          <w:rFonts w:ascii="Times New Roman" w:hAnsi="Times New Roman"/>
          <w:szCs w:val="28"/>
          <w:lang w:val="fr-FR"/>
        </w:rPr>
        <w:t xml:space="preserve"> (sửa đổi)</w:t>
      </w:r>
      <w:r w:rsidRPr="000F1EC3">
        <w:rPr>
          <w:rFonts w:ascii="Times New Roman" w:hAnsi="Times New Roman"/>
          <w:szCs w:val="28"/>
          <w:lang w:val="fr-FR"/>
        </w:rPr>
        <w:t>.</w:t>
      </w:r>
    </w:p>
    <w:p w14:paraId="1E758B95" w14:textId="10978667" w:rsidR="000F1EC3" w:rsidRPr="000F1EC3" w:rsidRDefault="005E54B6" w:rsidP="000F1EC3">
      <w:pPr>
        <w:shd w:val="clear" w:color="auto" w:fill="FFFFFF"/>
        <w:spacing w:after="120" w:line="234" w:lineRule="atLeast"/>
        <w:ind w:left="720" w:firstLine="720"/>
        <w:jc w:val="both"/>
        <w:rPr>
          <w:rFonts w:ascii="Times New Roman" w:hAnsi="Times New Roman"/>
          <w:szCs w:val="28"/>
        </w:rPr>
      </w:pPr>
      <w:r w:rsidRPr="000F1EC3">
        <w:rPr>
          <w:rFonts w:ascii="Times New Roman" w:hAnsi="Times New Roman"/>
          <w:b/>
          <w:szCs w:val="28"/>
        </w:rPr>
        <w:t>1. Tổng số ý kiến nhận được</w:t>
      </w:r>
      <w:r w:rsidRPr="000F1EC3">
        <w:rPr>
          <w:rFonts w:ascii="Times New Roman" w:hAnsi="Times New Roman"/>
          <w:szCs w:val="28"/>
        </w:rPr>
        <w:t xml:space="preserve">: </w:t>
      </w:r>
      <w:r w:rsidR="000F1EC3" w:rsidRPr="000F1EC3">
        <w:rPr>
          <w:rFonts w:ascii="Times New Roman" w:hAnsi="Times New Roman"/>
          <w:b/>
          <w:bCs/>
          <w:szCs w:val="28"/>
        </w:rPr>
        <w:t xml:space="preserve">55 </w:t>
      </w:r>
      <w:r w:rsidR="000B0760" w:rsidRPr="000F1EC3">
        <w:rPr>
          <w:rFonts w:ascii="Times New Roman" w:hAnsi="Times New Roman"/>
          <w:szCs w:val="28"/>
        </w:rPr>
        <w:t>ý kiến</w:t>
      </w:r>
      <w:r w:rsidRPr="000F1EC3">
        <w:rPr>
          <w:rFonts w:ascii="Times New Roman" w:hAnsi="Times New Roman"/>
          <w:szCs w:val="28"/>
        </w:rPr>
        <w:t xml:space="preserve"> </w:t>
      </w:r>
      <w:r w:rsidR="000B0760" w:rsidRPr="000F1EC3">
        <w:rPr>
          <w:rFonts w:ascii="Times New Roman" w:hAnsi="Times New Roman"/>
          <w:szCs w:val="28"/>
        </w:rPr>
        <w:t xml:space="preserve">của </w:t>
      </w:r>
      <w:r w:rsidRPr="000F1EC3">
        <w:rPr>
          <w:rFonts w:ascii="Times New Roman" w:hAnsi="Times New Roman"/>
          <w:szCs w:val="28"/>
        </w:rPr>
        <w:t xml:space="preserve">cơ quan, </w:t>
      </w:r>
      <w:r w:rsidR="00845D33">
        <w:rPr>
          <w:rFonts w:ascii="Times New Roman" w:hAnsi="Times New Roman"/>
          <w:szCs w:val="28"/>
        </w:rPr>
        <w:t xml:space="preserve">tổ chức, </w:t>
      </w:r>
      <w:r w:rsidRPr="000F1EC3">
        <w:rPr>
          <w:rFonts w:ascii="Times New Roman" w:hAnsi="Times New Roman"/>
          <w:szCs w:val="28"/>
        </w:rPr>
        <w:t>trong đó:</w:t>
      </w:r>
      <w:r w:rsidRPr="000F1EC3">
        <w:rPr>
          <w:rFonts w:ascii="Times New Roman" w:hAnsi="Times New Roman"/>
          <w:szCs w:val="28"/>
          <w:lang w:val="vi-VN"/>
        </w:rPr>
        <w:t xml:space="preserve"> </w:t>
      </w:r>
    </w:p>
    <w:p w14:paraId="294F69CA" w14:textId="3D78A17B" w:rsidR="000F1EC3" w:rsidRPr="000F1EC3" w:rsidRDefault="005E54B6" w:rsidP="000F1EC3">
      <w:pPr>
        <w:shd w:val="clear" w:color="auto" w:fill="FFFFFF"/>
        <w:spacing w:after="120" w:line="234" w:lineRule="atLeast"/>
        <w:ind w:firstLine="1440"/>
        <w:jc w:val="both"/>
        <w:rPr>
          <w:rFonts w:ascii="Times New Roman" w:hAnsi="Times New Roman"/>
          <w:szCs w:val="28"/>
        </w:rPr>
      </w:pPr>
      <w:r w:rsidRPr="000F1EC3">
        <w:rPr>
          <w:rFonts w:ascii="Times New Roman" w:hAnsi="Times New Roman"/>
          <w:szCs w:val="28"/>
        </w:rPr>
        <w:t xml:space="preserve">-  </w:t>
      </w:r>
      <w:r w:rsidR="000B0760" w:rsidRPr="000F1EC3">
        <w:rPr>
          <w:rFonts w:ascii="Times New Roman" w:hAnsi="Times New Roman"/>
          <w:szCs w:val="28"/>
        </w:rPr>
        <w:t xml:space="preserve">11 </w:t>
      </w:r>
      <w:r w:rsidRPr="000F1EC3">
        <w:rPr>
          <w:rFonts w:ascii="Times New Roman" w:hAnsi="Times New Roman"/>
          <w:szCs w:val="28"/>
        </w:rPr>
        <w:t xml:space="preserve">cơ quan, </w:t>
      </w:r>
      <w:r w:rsidR="00845D33">
        <w:rPr>
          <w:rFonts w:ascii="Times New Roman" w:hAnsi="Times New Roman"/>
          <w:szCs w:val="28"/>
        </w:rPr>
        <w:t>bộ, ngành, địa phương</w:t>
      </w:r>
      <w:r w:rsidRPr="000F1EC3">
        <w:rPr>
          <w:rFonts w:ascii="Times New Roman" w:hAnsi="Times New Roman"/>
          <w:szCs w:val="28"/>
        </w:rPr>
        <w:t xml:space="preserve"> thống nhất hoàn toàn với hồ sơ chính sách Bộ luật Hàng hải Việt Nam gồm:</w:t>
      </w:r>
      <w:r w:rsidR="000A2023">
        <w:rPr>
          <w:rFonts w:ascii="Times New Roman" w:hAnsi="Times New Roman"/>
          <w:szCs w:val="28"/>
        </w:rPr>
        <w:t xml:space="preserve"> Bộ Y tế, Sở Xây dựng Bắc Ninh,</w:t>
      </w:r>
      <w:r w:rsidRPr="000F1EC3">
        <w:rPr>
          <w:rFonts w:ascii="Times New Roman" w:hAnsi="Times New Roman"/>
          <w:szCs w:val="28"/>
        </w:rPr>
        <w:t xml:space="preserve"> Sở Xây dựng Cao Bằng, Sở Xây dựng Cà Mau, Sở Xây dựng Lâm Đồng, Sở Xây dựng Lạng Sơn, Sở Xây dựng Quảng Trị, Sở Xây dựng Thái Nguyên, Đoàn ĐBQH Gia Lai, Sở Xây dựng T</w:t>
      </w:r>
      <w:r w:rsidR="000A2023">
        <w:rPr>
          <w:rFonts w:ascii="Times New Roman" w:hAnsi="Times New Roman"/>
          <w:szCs w:val="28"/>
        </w:rPr>
        <w:t>uyên Quang, Sở Xây dựng Nghệ An.</w:t>
      </w:r>
    </w:p>
    <w:p w14:paraId="2776D824" w14:textId="11347F97" w:rsidR="000F1EC3" w:rsidRPr="000F1EC3" w:rsidRDefault="005E54B6" w:rsidP="000F1EC3">
      <w:pPr>
        <w:shd w:val="clear" w:color="auto" w:fill="FFFFFF"/>
        <w:spacing w:after="120" w:line="234" w:lineRule="atLeast"/>
        <w:ind w:firstLine="1440"/>
        <w:jc w:val="both"/>
        <w:rPr>
          <w:rFonts w:ascii="Times New Roman" w:hAnsi="Times New Roman"/>
          <w:szCs w:val="28"/>
        </w:rPr>
      </w:pPr>
      <w:r w:rsidRPr="000F1EC3">
        <w:rPr>
          <w:rFonts w:ascii="Times New Roman" w:hAnsi="Times New Roman"/>
          <w:szCs w:val="28"/>
        </w:rPr>
        <w:t xml:space="preserve">- </w:t>
      </w:r>
      <w:r w:rsidR="000F1EC3" w:rsidRPr="000F1EC3">
        <w:rPr>
          <w:rFonts w:ascii="Times New Roman" w:hAnsi="Times New Roman"/>
          <w:szCs w:val="28"/>
        </w:rPr>
        <w:t>44</w:t>
      </w:r>
      <w:r w:rsidRPr="000F1EC3">
        <w:rPr>
          <w:rFonts w:ascii="Times New Roman" w:hAnsi="Times New Roman"/>
          <w:szCs w:val="28"/>
        </w:rPr>
        <w:t xml:space="preserve"> cơ quan, </w:t>
      </w:r>
      <w:r w:rsidR="00845D33">
        <w:rPr>
          <w:rFonts w:ascii="Times New Roman" w:hAnsi="Times New Roman"/>
          <w:szCs w:val="28"/>
        </w:rPr>
        <w:t>tổ chức</w:t>
      </w:r>
      <w:r w:rsidRPr="000F1EC3">
        <w:rPr>
          <w:rFonts w:ascii="Times New Roman" w:hAnsi="Times New Roman"/>
          <w:szCs w:val="28"/>
        </w:rPr>
        <w:t xml:space="preserve"> có ý kiến góp ý cụ thể (chi tiết tại Mục 2).</w:t>
      </w:r>
    </w:p>
    <w:p w14:paraId="7E3DE492" w14:textId="3D5CAD73" w:rsidR="005E54B6" w:rsidRPr="000F1EC3" w:rsidRDefault="005E54B6" w:rsidP="000F1EC3">
      <w:pPr>
        <w:shd w:val="clear" w:color="auto" w:fill="FFFFFF"/>
        <w:spacing w:after="120" w:line="234" w:lineRule="atLeast"/>
        <w:ind w:firstLine="1440"/>
        <w:jc w:val="both"/>
        <w:rPr>
          <w:rFonts w:ascii="Times New Roman" w:hAnsi="Times New Roman"/>
          <w:szCs w:val="28"/>
        </w:rPr>
      </w:pPr>
      <w:r w:rsidRPr="000F1EC3">
        <w:rPr>
          <w:rFonts w:ascii="Times New Roman" w:hAnsi="Times New Roman"/>
          <w:b/>
          <w:bCs/>
          <w:szCs w:val="28"/>
        </w:rPr>
        <w:t>2. Kết quả cụ thể như sau</w:t>
      </w:r>
      <w:r w:rsidRPr="000F1EC3">
        <w:rPr>
          <w:rFonts w:ascii="Times New Roman" w:hAnsi="Times New Roman"/>
          <w:szCs w:val="28"/>
        </w:rPr>
        <w:t>:</w:t>
      </w:r>
    </w:p>
    <w:p w14:paraId="03BE75BC" w14:textId="77777777" w:rsidR="000F1EC3" w:rsidRPr="000F1EC3" w:rsidRDefault="000F1EC3" w:rsidP="000F1EC3">
      <w:pPr>
        <w:shd w:val="clear" w:color="auto" w:fill="FFFFFF"/>
        <w:spacing w:after="120" w:line="234" w:lineRule="atLeast"/>
        <w:ind w:firstLine="1440"/>
        <w:jc w:val="both"/>
        <w:rPr>
          <w:rFonts w:ascii="Times New Roman" w:hAnsi="Times New Roman"/>
          <w:szCs w:val="28"/>
          <w:lang w:val="vi-VN"/>
        </w:rPr>
      </w:pPr>
    </w:p>
    <w:tbl>
      <w:tblPr>
        <w:tblW w:w="15199"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92"/>
        <w:gridCol w:w="1620"/>
        <w:gridCol w:w="8872"/>
        <w:gridCol w:w="2793"/>
        <w:gridCol w:w="8"/>
      </w:tblGrid>
      <w:tr w:rsidR="005E54B6" w:rsidRPr="000F1EC3" w14:paraId="053BADE4" w14:textId="77777777" w:rsidTr="001B580E">
        <w:trPr>
          <w:gridAfter w:val="1"/>
          <w:wAfter w:w="8" w:type="dxa"/>
        </w:trPr>
        <w:tc>
          <w:tcPr>
            <w:tcW w:w="914" w:type="dxa"/>
            <w:vAlign w:val="center"/>
          </w:tcPr>
          <w:p w14:paraId="2776A270"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STT</w:t>
            </w:r>
          </w:p>
        </w:tc>
        <w:tc>
          <w:tcPr>
            <w:tcW w:w="992" w:type="dxa"/>
            <w:vAlign w:val="center"/>
          </w:tcPr>
          <w:p w14:paraId="0D425DA9"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Điều, khoản</w:t>
            </w:r>
          </w:p>
        </w:tc>
        <w:tc>
          <w:tcPr>
            <w:tcW w:w="1620" w:type="dxa"/>
            <w:vAlign w:val="center"/>
          </w:tcPr>
          <w:p w14:paraId="460FCDF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Chủ thể góp ý</w:t>
            </w:r>
          </w:p>
        </w:tc>
        <w:tc>
          <w:tcPr>
            <w:tcW w:w="8872" w:type="dxa"/>
            <w:vAlign w:val="center"/>
          </w:tcPr>
          <w:p w14:paraId="675E92EA"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Nội dung góp ý</w:t>
            </w:r>
          </w:p>
        </w:tc>
        <w:tc>
          <w:tcPr>
            <w:tcW w:w="2793" w:type="dxa"/>
            <w:vAlign w:val="center"/>
          </w:tcPr>
          <w:p w14:paraId="32370EB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Nội dung tiếp thu, giải trình</w:t>
            </w:r>
          </w:p>
        </w:tc>
      </w:tr>
      <w:tr w:rsidR="005E54B6" w:rsidRPr="000F1EC3" w14:paraId="0A17C12A" w14:textId="77777777" w:rsidTr="001B580E">
        <w:tc>
          <w:tcPr>
            <w:tcW w:w="914" w:type="dxa"/>
            <w:vAlign w:val="center"/>
          </w:tcPr>
          <w:p w14:paraId="5D8AB488"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A</w:t>
            </w:r>
          </w:p>
        </w:tc>
        <w:tc>
          <w:tcPr>
            <w:tcW w:w="14285" w:type="dxa"/>
            <w:gridSpan w:val="5"/>
            <w:vAlign w:val="center"/>
          </w:tcPr>
          <w:p w14:paraId="2D3CA1CB"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Đối với dự thảo Bộ luật</w:t>
            </w:r>
          </w:p>
        </w:tc>
      </w:tr>
      <w:tr w:rsidR="005E54B6" w:rsidRPr="000F1EC3" w14:paraId="43A144AD" w14:textId="77777777" w:rsidTr="001B580E">
        <w:tc>
          <w:tcPr>
            <w:tcW w:w="914" w:type="dxa"/>
            <w:vAlign w:val="center"/>
          </w:tcPr>
          <w:p w14:paraId="4C5A289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I</w:t>
            </w:r>
          </w:p>
        </w:tc>
        <w:tc>
          <w:tcPr>
            <w:tcW w:w="14285" w:type="dxa"/>
            <w:gridSpan w:val="5"/>
            <w:vAlign w:val="center"/>
          </w:tcPr>
          <w:p w14:paraId="39D536BA"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Ý kiến chung</w:t>
            </w:r>
          </w:p>
        </w:tc>
      </w:tr>
      <w:tr w:rsidR="005E54B6" w:rsidRPr="000F1EC3" w14:paraId="40E61AC2" w14:textId="77777777" w:rsidTr="001B580E">
        <w:trPr>
          <w:gridAfter w:val="1"/>
          <w:wAfter w:w="8" w:type="dxa"/>
        </w:trPr>
        <w:tc>
          <w:tcPr>
            <w:tcW w:w="914" w:type="dxa"/>
            <w:vAlign w:val="center"/>
          </w:tcPr>
          <w:p w14:paraId="1CD48926"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209E4AA7"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3A2A5F5"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Bộ Nội vụ (văn bản số 4525/BNV-</w:t>
            </w:r>
            <w:r w:rsidRPr="000F1EC3">
              <w:rPr>
                <w:rFonts w:ascii="Times New Roman" w:hAnsi="Times New Roman"/>
                <w:b/>
                <w:bCs/>
                <w:sz w:val="24"/>
              </w:rPr>
              <w:lastRenderedPageBreak/>
              <w:t>PC ngày 12/5/2026)</w:t>
            </w:r>
          </w:p>
        </w:tc>
        <w:tc>
          <w:tcPr>
            <w:tcW w:w="8872" w:type="dxa"/>
            <w:vAlign w:val="center"/>
          </w:tcPr>
          <w:p w14:paraId="41C5982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Đề nghị cơ quan chủ trì soạn thảo rà soát để việc xây dựng, ban hành dự thảo Bộ luật bảo đảm không làm phát sinh tổ chức bộ máy và biên chế theo tinh thần Nghị quyết số 18-NQ/TW ngày 25/10/2017 của Hội nghị Trung ương 6 khóa XII, Nghị Quyết số 19-NQ/TW của Hội nghị lần thứ sáu Ban Chấp hành Trung ương khóa XII. Đồng thời bảo đảm thực </w:t>
            </w:r>
            <w:r w:rsidRPr="000F1EC3">
              <w:rPr>
                <w:rFonts w:ascii="Times New Roman" w:hAnsi="Times New Roman"/>
                <w:sz w:val="24"/>
              </w:rPr>
              <w:lastRenderedPageBreak/>
              <w:t xml:space="preserve">hiện nghiêm Kết luận số 119-KL/TW ngày 20/01/2025 </w:t>
            </w:r>
            <w:bookmarkStart w:id="0" w:name="_GoBack"/>
            <w:bookmarkEnd w:id="0"/>
            <w:r w:rsidRPr="000F1EC3">
              <w:rPr>
                <w:rFonts w:ascii="Times New Roman" w:hAnsi="Times New Roman"/>
                <w:sz w:val="24"/>
              </w:rPr>
              <w:t>của Bộ Chính trị, Nghị quyết 66-NQ/TW ngày 30/4/2025 của Bộ Chính trị, ý kiến chỉ đạo của Thủ tướng Chính phủ tại Văn bản số 48/CVBCĐTKNQ18 ngày 03/5/2025 của Ban Chỉ đạo Tổng kết thực hiện Nghị quyết số 18-NQ/TW của Chính phủ và Văn bản số 435/TTg-TCCV ngày 25/4/2026 của Thủ tướng Chính phủ về việc sửa đổi, bổ sung các luật, nghị quyết của Quốc hội, pháp lệnh, nghị quyết của Ủy ban Thường vụ Quốc hội bảo đảm theo các nguyên tắc tại Luật Tổ chức Chính phủ, như: tuân thủ nguyên tắc về phân quyền, phân cấp, phân định thẩm quyền tại Luật Tổ chức Chính phủ năm 2025, Luật Tổ chức Chính quyền địa phương năm 2025; không quy định tại Luật những nội dung thuộc thẩm quyền của Chính phủ, không quy định nhiệm vụ và quyền hạn cụ thể của Bộ, ngành tại dự thảo Luật; không phân quyền trực tiếp cho các Bộ trưởng tại dự thảo Luật; không lồng ghép các quy định về tổ chức bộ máy, biên chế vào các luật, pháp lệnh, nghị quyết của Quốc hội, Ủy ban Thường vụ Quốc hội không thuộc lĩnh vực tổ chức bộ máy nhà nước; trường hợp cần thiết thì phải có quy trình thẩm định, thẩm tra, đánh giá tác động chặt chẽ để Quốc hội, Ủy ban Thường vụ Quốc hội có cơ sở xem xét, quyết định.</w:t>
            </w:r>
          </w:p>
        </w:tc>
        <w:tc>
          <w:tcPr>
            <w:tcW w:w="2793" w:type="dxa"/>
            <w:vAlign w:val="center"/>
          </w:tcPr>
          <w:p w14:paraId="546BA6AD" w14:textId="00E7D64B"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2"/>
                <w:szCs w:val="22"/>
              </w:rPr>
              <w:lastRenderedPageBreak/>
              <w:t xml:space="preserve">Tiếp thu, cơ quan chủ trì soạn thảo đã rà soát các nội dung của dự thảo, đảm bảo không quy định nhiệm vụ và quyền </w:t>
            </w:r>
            <w:r w:rsidRPr="000F1EC3">
              <w:rPr>
                <w:rFonts w:ascii="Times New Roman" w:hAnsi="Times New Roman"/>
                <w:sz w:val="22"/>
                <w:szCs w:val="22"/>
              </w:rPr>
              <w:lastRenderedPageBreak/>
              <w:t>hạn cụ thể của Bộ, ngành tại dự thảo Bộ luật; không phân quyền trực tiếp cho các Bộ trưởng tại dự thảo Bộ luật; không lồng ghép các quy định về tổ chức bộ máy, biên chế vào các luật, pháp lệnh, nghị quyết của Quốc hội, Ủy ban Thường vụ Quốc hội không thuộc lĩnh vực tổ chức bộ máy nhà nước</w:t>
            </w:r>
          </w:p>
        </w:tc>
      </w:tr>
      <w:tr w:rsidR="005E54B6" w:rsidRPr="000F1EC3" w14:paraId="5B7BA08C" w14:textId="77777777" w:rsidTr="001B580E">
        <w:trPr>
          <w:gridAfter w:val="1"/>
          <w:wAfter w:w="8" w:type="dxa"/>
        </w:trPr>
        <w:tc>
          <w:tcPr>
            <w:tcW w:w="914" w:type="dxa"/>
            <w:vAlign w:val="center"/>
          </w:tcPr>
          <w:p w14:paraId="569D4B22"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6B583C3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30A8376"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3562275A" w14:textId="77777777" w:rsidR="005E54B6" w:rsidRPr="000F1EC3" w:rsidRDefault="005E54B6" w:rsidP="005E54B6">
            <w:pPr>
              <w:tabs>
                <w:tab w:val="left" w:pos="851"/>
              </w:tabs>
              <w:spacing w:before="20" w:after="20"/>
              <w:jc w:val="both"/>
              <w:rPr>
                <w:rFonts w:ascii="Times New Roman" w:hAnsi="Times New Roman"/>
                <w:spacing w:val="-2"/>
                <w:sz w:val="24"/>
              </w:rPr>
            </w:pPr>
            <w:r w:rsidRPr="000F1EC3">
              <w:rPr>
                <w:rFonts w:ascii="Times New Roman" w:hAnsi="Times New Roman"/>
                <w:spacing w:val="-2"/>
                <w:sz w:val="24"/>
              </w:rPr>
              <w:t>- Đề nghị Bộ Xây dựng rà soát dự thảo Bộ luật để bảo đảm thống nhất, đồng bộ với Luật Tài nguyên, môi trường biển và hải đảo, Luật Bảo vệ môi trường và các quy định pháp luật có liên quan đến quản lý, khai thác, sử dụng tài nguyên biển. Lý do: Dự thảo Bộ luật điều chỉnh nhiều hoạt động diễn ra trên vùng biển Việt Nam, trong đó có các hoạt động sử dụng không gian biển để xây dựng công trình, khai thác tài nguyên, vận hành công trình ngoài khơi. Các hoạt động này đồng thời chịu sự điều chỉnh của pháp luật về tài nguyên, môi trường biển và hải đảo; do đó cần quy định rõ nguyên tắc áp dụng pháp luật nhằm tránh chồng chéo trong quá trình tổ chức thực hiện.</w:t>
            </w:r>
          </w:p>
          <w:p w14:paraId="118C673D" w14:textId="77777777" w:rsidR="005E54B6" w:rsidRPr="000F1EC3" w:rsidRDefault="005E54B6" w:rsidP="005E54B6">
            <w:pPr>
              <w:tabs>
                <w:tab w:val="left" w:pos="851"/>
              </w:tabs>
              <w:spacing w:before="20" w:after="20"/>
              <w:jc w:val="both"/>
              <w:rPr>
                <w:rFonts w:ascii="Times New Roman" w:hAnsi="Times New Roman"/>
                <w:spacing w:val="-2"/>
                <w:sz w:val="24"/>
              </w:rPr>
            </w:pPr>
            <w:r w:rsidRPr="000F1EC3">
              <w:rPr>
                <w:rFonts w:ascii="Times New Roman" w:hAnsi="Times New Roman"/>
                <w:spacing w:val="-2"/>
                <w:sz w:val="24"/>
              </w:rPr>
              <w:t>- Về giao thông đường thủy nội địa: trong những năm qua việc nạo vét luồng tuyến giao thông đường thuỷ đã có tác động lớn đến việc lấy nước tưới cho nông nghiệp, đặc biệt là lấy nước tự chảy, cao độ mực nước sông giảm dẫn đến giảm hoặc vô hiệu hoá một số công trình lấy nước tự chảy, do đó cần có nghiên cứu kỹ lượng việc phát triển đường thuỷ nội địa phải gắn với khả năng nguồn nước (được quy định tại Điều 48 Luật Tài nguyên nước). Luật Tài nguyên nước 2023 quy định giao thông đường thủy nội địa, hàng hải là một trong những chức năng cơ bản của các nguồn nước đồng thời đây cũng là một trong các căn cứ quyết định việc chấp thuận, phê duyệt, các dự án đầu tư kết cấu hạ tầng liên quan đến mặt nước (Điều 22 Luật Tài nguyên nước) do vậy Hồ sơ dự án Bộ luật Hàng hải và Đường thủy Việt Nam cần chỉnh sửa bổ sung để đáp ứng các quy định liên quan.</w:t>
            </w:r>
          </w:p>
          <w:p w14:paraId="526143D5" w14:textId="77777777" w:rsidR="005E54B6" w:rsidRPr="000F1EC3" w:rsidRDefault="005E54B6" w:rsidP="005E54B6">
            <w:pPr>
              <w:tabs>
                <w:tab w:val="left" w:pos="851"/>
              </w:tabs>
              <w:spacing w:before="20" w:after="20"/>
              <w:jc w:val="both"/>
              <w:rPr>
                <w:rFonts w:ascii="Times New Roman" w:hAnsi="Times New Roman"/>
                <w:spacing w:val="-2"/>
                <w:sz w:val="24"/>
              </w:rPr>
            </w:pPr>
            <w:r w:rsidRPr="000F1EC3">
              <w:rPr>
                <w:rFonts w:ascii="Times New Roman" w:hAnsi="Times New Roman"/>
                <w:spacing w:val="-2"/>
                <w:sz w:val="24"/>
              </w:rPr>
              <w:lastRenderedPageBreak/>
              <w:t>- Đề nghị nghiên cứu bổ sung quy định về trách nhiệm của chủ tàu, chủ cảng trong việc lập, phê duyệt và duy trì năng lực ứng phó sự cố môi trường; đồng thời bổ sung các quy định về phát triển cảng biển xanh, cảng, bến thủy nội địa xanh, cảng biển thông minh, cảng, bến thủy nội địa thông minh và quản lý các hoạt động đóng mới, sửa chữa, hoán cải, tái chế, phá dỡ tàu thuyền, hoạt động cung ứng nhiên liệu, năng lượng, dịch vụ hỗ trợ vận tải, quản lý chất thải, nước dằn tàu, phát thải khí nhà kính và các chất ô nhiễm khác phát sinh từ tàu thuyền theo hướng tuân thủ quy định pháp luật về bảo vệ môi trường và các điều ước quốc tế có liên quan.</w:t>
            </w:r>
          </w:p>
          <w:p w14:paraId="787436D0" w14:textId="77777777" w:rsidR="005E54B6" w:rsidRPr="000F1EC3" w:rsidRDefault="005E54B6" w:rsidP="005E54B6">
            <w:pPr>
              <w:tabs>
                <w:tab w:val="left" w:pos="851"/>
              </w:tabs>
              <w:spacing w:before="20" w:after="20"/>
              <w:jc w:val="both"/>
              <w:rPr>
                <w:rFonts w:ascii="Times New Roman" w:hAnsi="Times New Roman"/>
                <w:spacing w:val="-2"/>
                <w:sz w:val="24"/>
              </w:rPr>
            </w:pPr>
            <w:r w:rsidRPr="000F1EC3">
              <w:rPr>
                <w:rFonts w:ascii="Times New Roman" w:hAnsi="Times New Roman"/>
                <w:spacing w:val="-2"/>
                <w:sz w:val="24"/>
              </w:rPr>
              <w:t xml:space="preserve">- Dự thảo quy định khái niệm </w:t>
            </w:r>
            <w:r w:rsidRPr="000F1EC3">
              <w:rPr>
                <w:rFonts w:ascii="Times New Roman" w:hAnsi="Times New Roman"/>
                <w:i/>
                <w:iCs/>
                <w:spacing w:val="-2"/>
                <w:sz w:val="24"/>
              </w:rPr>
              <w:t>“công trình năng lượng tái tạo trên biển”</w:t>
            </w:r>
            <w:r w:rsidRPr="000F1EC3">
              <w:rPr>
                <w:rFonts w:ascii="Times New Roman" w:hAnsi="Times New Roman"/>
                <w:spacing w:val="-2"/>
                <w:sz w:val="24"/>
              </w:rPr>
              <w:t xml:space="preserve"> tại khoản 12 Điều 4 và quy định nội dung đăng kiểm </w:t>
            </w:r>
            <w:r w:rsidRPr="000F1EC3">
              <w:rPr>
                <w:rFonts w:ascii="Times New Roman" w:hAnsi="Times New Roman"/>
                <w:i/>
                <w:iCs/>
                <w:spacing w:val="-2"/>
                <w:sz w:val="24"/>
              </w:rPr>
              <w:t>“công trình năng lượng tái tạo ngoài khơi”</w:t>
            </w:r>
            <w:r w:rsidRPr="000F1EC3">
              <w:rPr>
                <w:rFonts w:ascii="Times New Roman" w:hAnsi="Times New Roman"/>
                <w:spacing w:val="-2"/>
                <w:sz w:val="24"/>
              </w:rPr>
              <w:t xml:space="preserve"> tại Điều 70. Đề nghị Bộ Xây dựng nghiên cứu rà soát, thống nhất cách sử dụng thuật ngữ giữa </w:t>
            </w:r>
            <w:r w:rsidRPr="000F1EC3">
              <w:rPr>
                <w:rFonts w:ascii="Times New Roman" w:hAnsi="Times New Roman"/>
                <w:i/>
                <w:iCs/>
                <w:spacing w:val="-2"/>
                <w:sz w:val="24"/>
              </w:rPr>
              <w:t>“trên biển”</w:t>
            </w:r>
            <w:r w:rsidRPr="000F1EC3">
              <w:rPr>
                <w:rFonts w:ascii="Times New Roman" w:hAnsi="Times New Roman"/>
                <w:spacing w:val="-2"/>
                <w:sz w:val="24"/>
              </w:rPr>
              <w:t xml:space="preserve"> và </w:t>
            </w:r>
            <w:r w:rsidRPr="000F1EC3">
              <w:rPr>
                <w:rFonts w:ascii="Times New Roman" w:hAnsi="Times New Roman"/>
                <w:i/>
                <w:iCs/>
                <w:spacing w:val="-2"/>
                <w:sz w:val="24"/>
              </w:rPr>
              <w:t>“ngoài khơi”,</w:t>
            </w:r>
            <w:r w:rsidRPr="000F1EC3">
              <w:rPr>
                <w:rFonts w:ascii="Times New Roman" w:hAnsi="Times New Roman"/>
                <w:spacing w:val="-2"/>
                <w:sz w:val="24"/>
              </w:rPr>
              <w:t xml:space="preserve"> tránh việc cùng một đối tượng quản lý nhưng sử dụng hai thuật ngữ khác nhau. Xem xét khái quát hóa theo hướng quy định chung về đăng kiểm công trình trên biển, bao gồm công trình dầu khí, công trình năng lượng tái tạo, đảo nhân tạo, thiết bị, công trình lắp đặt trên biển và các công trình khác theo quy định của pháp luật Việt Nam và điều ước quốc tế có liên quan. Việc tách riêng từng nhóm công trình có thể chưa bao quát hết các loại hình công trình đang và sẽ phát sinh trên biển; trong khi theo Công ước Liên Hợp Quốc về Luật Biển, ngoài đảo nhân tạo và công trình năng lượng còn có nhiều loại thiết bị, công trình khác được quốc gia ven biển thực hiện quyền tài phán.</w:t>
            </w:r>
          </w:p>
          <w:p w14:paraId="1D67D41B" w14:textId="77777777" w:rsidR="005E54B6" w:rsidRPr="000F1EC3" w:rsidRDefault="005E54B6" w:rsidP="005E54B6">
            <w:pPr>
              <w:tabs>
                <w:tab w:val="left" w:pos="851"/>
              </w:tabs>
              <w:spacing w:before="20" w:after="20"/>
              <w:jc w:val="both"/>
              <w:rPr>
                <w:rFonts w:ascii="Times New Roman" w:hAnsi="Times New Roman"/>
                <w:spacing w:val="-2"/>
                <w:sz w:val="24"/>
              </w:rPr>
            </w:pPr>
            <w:r w:rsidRPr="000F1EC3">
              <w:rPr>
                <w:rFonts w:ascii="Times New Roman" w:hAnsi="Times New Roman"/>
                <w:spacing w:val="-2"/>
                <w:sz w:val="24"/>
              </w:rPr>
              <w:t>- Đề nghị rà soát, chỉnh sửa, bổ sung nội dung bảo đảm yêu cầu phòng, chống thiên tai đối với các hoạt động hàng hải, đường thủy nội địa như điều kiện gia hạn thời hạn hoạt động của dự án cảng biển tại Điều 39; trách nhiệm bảo trì kết cấu hạ tầng hàng hải và đường thủy nội địa tại Điều 52; vận chuyển, xếp dỡ, lưu trữ hàng hóa nguy hiểm tại Điều 152…</w:t>
            </w:r>
          </w:p>
        </w:tc>
        <w:tc>
          <w:tcPr>
            <w:tcW w:w="2793" w:type="dxa"/>
            <w:vAlign w:val="center"/>
          </w:tcPr>
          <w:p w14:paraId="1FDA1258" w14:textId="77777777" w:rsidR="005E54B6" w:rsidRPr="000F1EC3" w:rsidRDefault="005E54B6" w:rsidP="005E54B6">
            <w:pPr>
              <w:shd w:val="clear" w:color="auto" w:fill="FFFFFF"/>
              <w:spacing w:before="20" w:after="20"/>
              <w:jc w:val="both"/>
              <w:rPr>
                <w:rFonts w:ascii="Times New Roman" w:hAnsi="Times New Roman"/>
                <w:sz w:val="22"/>
                <w:szCs w:val="22"/>
              </w:rPr>
            </w:pPr>
            <w:r w:rsidRPr="000F1EC3">
              <w:rPr>
                <w:rFonts w:ascii="Times New Roman" w:hAnsi="Times New Roman"/>
                <w:sz w:val="22"/>
                <w:szCs w:val="22"/>
              </w:rPr>
              <w:lastRenderedPageBreak/>
              <w:t xml:space="preserve">Tiếp thu, quá trình xây dựng, hoàn thiện dự </w:t>
            </w:r>
            <w:r w:rsidR="0081493C" w:rsidRPr="000F1EC3">
              <w:rPr>
                <w:rFonts w:ascii="Times New Roman" w:hAnsi="Times New Roman"/>
                <w:sz w:val="22"/>
                <w:szCs w:val="22"/>
              </w:rPr>
              <w:t>thảo</w:t>
            </w:r>
            <w:r w:rsidRPr="000F1EC3">
              <w:rPr>
                <w:rFonts w:ascii="Times New Roman" w:hAnsi="Times New Roman"/>
                <w:sz w:val="22"/>
                <w:szCs w:val="22"/>
              </w:rPr>
              <w:t xml:space="preserve"> Bộ luật, cơ quan chủ trì soạn thảo đã rà soát, bảo đảm tính thống nhất, phù hợp giữ các quy định tại dự thảo Bộ luật và giữa dự thảo với các quy định, điều ước quốc tế liên quan.</w:t>
            </w:r>
          </w:p>
          <w:p w14:paraId="3340E41B" w14:textId="168154DD" w:rsidR="002E5BE4" w:rsidRPr="000F1EC3" w:rsidRDefault="002E5BE4" w:rsidP="005E54B6">
            <w:pPr>
              <w:shd w:val="clear" w:color="auto" w:fill="FFFFFF"/>
              <w:spacing w:before="20" w:after="20"/>
              <w:jc w:val="both"/>
              <w:rPr>
                <w:rFonts w:ascii="Times New Roman" w:hAnsi="Times New Roman"/>
                <w:sz w:val="24"/>
              </w:rPr>
            </w:pPr>
          </w:p>
        </w:tc>
      </w:tr>
      <w:tr w:rsidR="005E54B6" w:rsidRPr="000F1EC3" w14:paraId="28B70136" w14:textId="77777777" w:rsidTr="001B580E">
        <w:trPr>
          <w:gridAfter w:val="1"/>
          <w:wAfter w:w="8" w:type="dxa"/>
        </w:trPr>
        <w:tc>
          <w:tcPr>
            <w:tcW w:w="914" w:type="dxa"/>
            <w:vAlign w:val="center"/>
          </w:tcPr>
          <w:p w14:paraId="30CAF24D"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74BE4CD6"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39697EA"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Sở Xây dựng Lào Cai (văn bản số 2441/SXD-VTPTNL ngày 8/5/2026)</w:t>
            </w:r>
          </w:p>
        </w:tc>
        <w:tc>
          <w:tcPr>
            <w:tcW w:w="8872" w:type="dxa"/>
            <w:vAlign w:val="center"/>
          </w:tcPr>
          <w:p w14:paraId="034ED4B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1. Đề nghị bỏ dấu “.” Sau các từ “Chương I.”, “Mục 1.”, tương tự với các chương và mục còn lại của dự thảo Bộ luật; nhằm đảm bảo đúng theo quy định về thể thức văn bản quy phạm pháp luật được quy định tại Phụ lục I, Nghị định số 78/2025/NĐ-CP ngày 01/4/2025 của Chính phủ Quy định chi tiết một số điều và biện pháp để tổ chức, hướng dẫn thi hành Luật Ban hành văn bản quy phạm pháp luật.</w:t>
            </w:r>
          </w:p>
          <w:p w14:paraId="02420DE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2. Đối với các điều luật có 02 phương án để lựa chọn, đề nghị cơ quan soạn thảo phân tích ưu điểm, nhược điểm của mỗi phương án trước khi trình Chính phủ. Trong bản so sánh dự thảo Bộ luật Hàng hải và Đường thuỷ Việt Nam với Bộ luật Hàng hải Việt Nam năm 2015, Luật Giao thông đường thuỷ nội địa năm 2004, sửa đổi, bổ sung năm 2014; chỉ có điều 24, điều 39 được phân tích hai phương án có ưu điểm, nhược điểm gì; các điều còn lại của dự thảo Bộ luật có 02 phương án lựa chọn đều chưa được phân tích cụ thể.</w:t>
            </w:r>
          </w:p>
          <w:p w14:paraId="3B1BFF9B"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3. Đề nghị ban soạn thảo xem xét sắp xếp lại bố cục do một số khái niệm được định nghĩa hai lần trong dự thảo: định nghĩa “Cảng biển” tại khoản 15 Điều 4 và khoản 1 Điều 17; “Cảng cạn” tại khoản 27 Điều 4 và khoản 1 Điều 31…</w:t>
            </w:r>
          </w:p>
        </w:tc>
        <w:tc>
          <w:tcPr>
            <w:tcW w:w="2793" w:type="dxa"/>
            <w:vAlign w:val="center"/>
          </w:tcPr>
          <w:p w14:paraId="2739DA8B" w14:textId="35758222"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1. Nội dung 1, 3: Tiếp thu, chỉnh sửa.</w:t>
            </w:r>
          </w:p>
          <w:p w14:paraId="03418949" w14:textId="25270A68"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2. Đối với các Điều, khoản đề xuất 02 phương án tại Chương II dự thảo xin ý kiến</w:t>
            </w:r>
            <w:r w:rsidR="002E5BE4" w:rsidRPr="000F1EC3">
              <w:rPr>
                <w:rFonts w:ascii="Times New Roman" w:hAnsi="Times New Roman"/>
                <w:sz w:val="24"/>
              </w:rPr>
              <w:t xml:space="preserve">: </w:t>
            </w:r>
            <w:r w:rsidRPr="000F1EC3">
              <w:rPr>
                <w:rFonts w:ascii="Times New Roman" w:hAnsi="Times New Roman"/>
                <w:sz w:val="24"/>
              </w:rPr>
              <w:t xml:space="preserve">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p w14:paraId="3C29BFFC" w14:textId="4289BF37" w:rsidR="005E54B6" w:rsidRPr="000F1EC3" w:rsidRDefault="005E54B6" w:rsidP="005E54B6">
            <w:pPr>
              <w:shd w:val="clear" w:color="auto" w:fill="FFFFFF"/>
              <w:spacing w:before="20" w:after="20"/>
              <w:jc w:val="both"/>
              <w:rPr>
                <w:rFonts w:ascii="Times New Roman" w:hAnsi="Times New Roman"/>
                <w:sz w:val="24"/>
              </w:rPr>
            </w:pPr>
          </w:p>
        </w:tc>
      </w:tr>
      <w:tr w:rsidR="005E54B6" w:rsidRPr="000F1EC3" w14:paraId="1CDE6A77" w14:textId="77777777" w:rsidTr="001B580E">
        <w:trPr>
          <w:gridAfter w:val="1"/>
          <w:wAfter w:w="8" w:type="dxa"/>
        </w:trPr>
        <w:tc>
          <w:tcPr>
            <w:tcW w:w="914" w:type="dxa"/>
            <w:vAlign w:val="center"/>
          </w:tcPr>
          <w:p w14:paraId="0FB64638"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5EB07E66"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3EE07C4"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Đắk Lắk (văn bản số 121/ĐBQH-VP ngày 13/5/2026)</w:t>
            </w:r>
          </w:p>
        </w:tc>
        <w:tc>
          <w:tcPr>
            <w:tcW w:w="8872" w:type="dxa"/>
            <w:vAlign w:val="center"/>
          </w:tcPr>
          <w:p w14:paraId="4DACB59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Về bố cục của dự thảo Bộ luật </w:t>
            </w:r>
          </w:p>
          <w:p w14:paraId="75BEE4A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Việc hợp nhất lĩnh vực hàng hải và đường thủy nội địa trong cùng một Bộ luật là định hướng lớn, nhằm xây dựng khung pháp lý thống nhất đối với hoạt động vận tải đường thủy, góp phần tinh gọn hệ thống pháp luật chuyên ngành. Tuy nhiên, qua nghiên cứu dự thảo cho thấy bố cục hiện nay được thiết kế theo hướng lồng ghép, đan xen các quy định của hai lĩnh vực trong cùng một chương, mục, mặc dù giữa hàng hải và đường thủy nội địa vẫn có những đặc thù riêng biệt về đối tượng điều chỉnh, phạm vi hoạt động và cơ chế quản lý. Theo dự thảo, Chương I quy định những nội dung chung; Chương II quy định về kết cấu hạ tầng hàng hải, đường thủy nội địa và cảng cạn; các chương tiếp theo tiếp tục quy định về tàu thuyền, thuyền viên, vận tải, an toàn… và quản lý nhà nước. Cách thiết kế này có thể dẫn đến tình trạng các quy định của hai lĩnh vực bị lồng ghép trong cùng một chương hoặc điều luật, gây khó khăn trong việc tra cứu, áp dụng và tổ chức thực hiện. Trong khi đó, lĩnh vực hàng hải chủ yếu điều chỉnh các vấn đề liên quan đến tàu biển, cảng biển, hàng hải, vận tải biển quốc tế và chịu sự tác động lớn từ các điều ước, công ước quốc tế, đặc biệt là các công ước của Tổ chức Hàng hải quốc tế (IMO); trong khi lĩnh vực đường thủy nội địa chủ yếu điều chỉnh phương tiện thủy nội địa, cảng, bến thủy nội địa, người lái phương tiện và hoạt động vận tải nội địa. Đây là hai lĩnh vực có sự liên quan nhưng không hoàn toàn tương đồng về tính chất hoạt động, phạm vi điều chỉnh và yêu cầu quản lý nhà nước</w:t>
            </w:r>
          </w:p>
          <w:p w14:paraId="3755C39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Vì vậy, để bảo đảm tính khoa học, logic, thuận lợi trong áp dụng pháp luật, đề nghị cơ quan soạn thảo nghiên cứu sắp xếp lại bố cục dự thảo theo hướng tách bạch rõ hơn giữa hai lĩnh vực. Theo đó, có thể thiết kế Bộ luật gồm: (i) Phần quy định chung; (ii) Phần quy định riêng về hàng hải; (iii) Phần quy định riêng về đường thủy nội địa; và (iv) Phần quy định chung áp dụng cho cả hai lĩnh như chuyển đổi số, bảo vệ môi trường, thanh tra, kiểm tra và điều khoản thi hành. Cách bố trí này sẽ bảo đảm rõ ràng, dễ theo dõi, hạn chế chồng chéo.</w:t>
            </w:r>
          </w:p>
        </w:tc>
        <w:tc>
          <w:tcPr>
            <w:tcW w:w="2793" w:type="dxa"/>
            <w:vAlign w:val="center"/>
          </w:tcPr>
          <w:p w14:paraId="703E30AE" w14:textId="411CFE03"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nghị giữ nguyên như dự thảo do Bố cục dự thảo Bộ luật đã được nghiên cứu, rà soát để quy định chung những hoạt động trong hai lĩnh vực có tính chất tương đồng nhau và tách riêng các quy định mang tính chất đặc thù của từng lĩnh vực, trường hợp điều chỉnh như ý kiến đề xuất dễ dẫn đến tình trạng chỉ thực hiện hợp nhất cơ học.</w:t>
            </w:r>
          </w:p>
        </w:tc>
      </w:tr>
      <w:tr w:rsidR="005E54B6" w:rsidRPr="000F1EC3" w14:paraId="7665F46E" w14:textId="77777777" w:rsidTr="001B580E">
        <w:trPr>
          <w:gridAfter w:val="1"/>
          <w:wAfter w:w="8" w:type="dxa"/>
        </w:trPr>
        <w:tc>
          <w:tcPr>
            <w:tcW w:w="914" w:type="dxa"/>
            <w:vAlign w:val="center"/>
          </w:tcPr>
          <w:p w14:paraId="1BA71666"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7412FF4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7D71CEF"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 xml:space="preserve">Công ty Luật TNHHDVHH Thăng Long (văn bản số </w:t>
            </w:r>
            <w:r w:rsidRPr="000F1EC3">
              <w:rPr>
                <w:rFonts w:ascii="Times New Roman" w:hAnsi="Times New Roman"/>
                <w:b/>
                <w:sz w:val="24"/>
              </w:rPr>
              <w:t xml:space="preserve">050 </w:t>
            </w:r>
            <w:r w:rsidRPr="000F1EC3">
              <w:rPr>
                <w:rFonts w:ascii="Times New Roman" w:hAnsi="Times New Roman"/>
                <w:b/>
                <w:sz w:val="24"/>
              </w:rPr>
              <w:lastRenderedPageBreak/>
              <w:t>/TMSLAW/2026</w:t>
            </w:r>
            <w:r w:rsidRPr="000F1EC3">
              <w:rPr>
                <w:rFonts w:ascii="Times New Roman" w:hAnsi="Times New Roman"/>
                <w:b/>
                <w:bCs/>
                <w:sz w:val="24"/>
              </w:rPr>
              <w:t>)</w:t>
            </w:r>
          </w:p>
        </w:tc>
        <w:tc>
          <w:tcPr>
            <w:tcW w:w="8872" w:type="dxa"/>
            <w:vAlign w:val="center"/>
          </w:tcPr>
          <w:p w14:paraId="327DB8D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1. Tính dự đoán và ổn định pháp lý còn hạn chế. So với hệ thống pháp luật hàng hải Anh, vốn phát triển dựa trên án lệ và tập quán thương mại quốc tế, Bộ luật Hàng hải Việt Nam chủ yếu dựa vào các quy định thành văn, trong khi chưa có cơ chế đầy đủ để giải thích và áp dụng thống nhất trong các tình huống phức tạp. Điều này có thể dẫn đến: Khó khăn trong việc dự đoán kết quả giải quyết tranh chấp; Giảm mức độ hấp dẫn của việc lựa chọn pháp luật Việt Nam trong các hợp đồng hàng hải quốc tế.</w:t>
            </w:r>
          </w:p>
          <w:p w14:paraId="1C28FCE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Đề xuất: Bổ sung nguyên tắc áp dụng pháp luật hàng hải. Quy định rõ nguyên tắc ưu tiên áp dụng tập quán thương mại quốc tế và điều ước quốc tế mà Việt Nam là thành viên; Tăng cường cơ chế giải thích thống nhất pháp luật thông qua án lệ và hướng dẫn của cơ quan có thẩm quyền.</w:t>
            </w:r>
          </w:p>
          <w:p w14:paraId="6B7AF9D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2. Khung pháp lý về chứng từ điện tử và vận đơn điện tử chưa hoàn thiện. Hiện nay, xu hướng sử dụng vận đơn điện tử (e-B/L) và chứng từ điện tử trong vận tải biển quốc tế ngày càng phổ biến. Tuy nhiên, Bộ luật Hàng hải Việt Nam chưa có quy định đầy đủ về: Giá trị pháp lý của vận đơn điện tử; Cơ chế chuyển nhượng và xác thực điện tử; Hạ tầng dữ liệu và chuần trao đổi thông tin. Việc thiếu hành lang pháp lý rõ ràng có thể hạn chế khả năng tham gia của Việt Nam vào chuỗi logistics số toàn cầu.</w:t>
            </w:r>
          </w:p>
          <w:p w14:paraId="67D08C3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xuất: Hoàn thiện khung pháp lý về chứng từ điện tử. Bổ sung quy định công nhận giá trị pháp lý tương đương của chứng từ điện tử và vận đơn điện tử; Quy định nguyên tắc về chuyển nhượng, xác thực và lưu trữ chứng từ điện tử; Giao Chính phủ quy định chi tiết về chuẩn dữ liệu và hạ tầng kỹ thuật.</w:t>
            </w:r>
          </w:p>
          <w:p w14:paraId="46A020C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3. Quy định về bảo hiểm hàng hải chưa tiệm cận chuẩn mực quốc tế. Các quy định hiện hành về bảo hiểm hàng hải trong Bộ luật vẫn mang tính khái quát và chưa hình thành hệ thống nguyên tắc chuyên sâu như: Nghĩa vụ trung thực tuyệt đối (utmost good faith); Nghĩa vụ cung cấp thông tin (disclosure); Cơ chế xử lý vi phạm nghĩa vụ hợp đồng. Điều này làm hạn chế khả năng phát triển thị trường bảo hiểm hàng hải và tái bảo hiểm theo chuẩn quốc tế.</w:t>
            </w:r>
          </w:p>
          <w:p w14:paraId="0816435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xuất: Nâng cấp chế định bảo hiểm hàng hải. Hoàn thiện các nguyên tắc cơ bản về bảo hiểm hàng hải theo chuẩn mực quốc tế; Quy định rõ nghĩa vụ cung cấp thông tin và hậu quả pháp lý khi vi phạm; Cho phép áp dụng tập quán và điều kiện bảo hiểm quốc tế.</w:t>
            </w:r>
          </w:p>
          <w:p w14:paraId="5923352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4. Chưa có quy định điều chỉnh đối với tàu tự hành và công nghệ mới. Sự phát triển của tàu tự hành (MASS), trí tuệ nhân tạo và các hệ thống vận hành từ xa đặt ra yêu cầu cấp thiết về khung pháp lý mới. Tuy nhiên, Bộ luật hiện hành chưa: Xác định rõ khái niệm và phân loại phương tiện tự hành; Quy định trách nhiệm pháp lý của các chủ thể liên quan (chủ tàu, người vận hành từ xa, nhà cung cấp công nghệ); Đặt ra yêu cầu về bảo hiểm đối với rủi ro công nghệ. </w:t>
            </w:r>
          </w:p>
          <w:p w14:paraId="36BB085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xuất: Bổ sung quy định về phương tiện tự hành và công nghệ mới. Xây dựng khung pháp lý về tàu tự hành và vận hành từ xa; Xác định rõ trách nhiệm của các chủ thể liên quan; Bổ sung yêu cầu về bảo hiểm trách nhiệm đối với rủi ro công nghệ.</w:t>
            </w:r>
          </w:p>
          <w:p w14:paraId="403CA08A"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5. Quy định về an ninh hàng hải chưa bao quát rủi ro không gian mạng. Trong khi các tiêu chuẩn quốc tế đã mở rộng khái niệm an ninh hàng hải bao gồm cả an ninh mạng, Bộ luật </w:t>
            </w:r>
            <w:r w:rsidRPr="000F1EC3">
              <w:rPr>
                <w:rFonts w:ascii="Times New Roman" w:hAnsi="Times New Roman"/>
                <w:sz w:val="24"/>
              </w:rPr>
              <w:lastRenderedPageBreak/>
              <w:t xml:space="preserve">hiện hành vẫn chủ yếu tiếp cận theo hướng truyền thống, tập trung vào các mối đe dọa vật lý. Điều này tạo ra khoảng trống pháp lý đối với các rủi ro: Tấn công hệ thống điều hướng, điều phối giao thông hàng hải; Xâm nhập hệ thống vận hành cảng và logistics. </w:t>
            </w:r>
          </w:p>
          <w:p w14:paraId="70E7B64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xuất: Mở rộng phạm vi điều chỉnh về an ninh hàng hải. Bổ sung nội dung về an ninh mạng trong hoạt động hàng hải; Yêu cầu xây dựng và thực hiện kế hoạch bảo đảm an ninh mạng đối với tàu và cơ sở cảng.</w:t>
            </w:r>
          </w:p>
          <w:p w14:paraId="0448D46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6. Cơ chế kiểm tra, giám sát (PSC/FSC) chưa hiện đại. Hoạt động kiểm tra tàu biển hiện đại trên thế giới đang chuyển mạnh sang mô hình đánh giá rủi ro dựa trên dữ liệu. Tuy nhiên, Bộ luật hiện hànhchưa tạo cơ sở pháp lý đầy đủ cho: Ứng dụng công nghệ số trong phân luồng kiểm tra; Sử dụng dữ liệu lớn để đánh giá mức độ rủi ro của tàu. </w:t>
            </w:r>
          </w:p>
          <w:p w14:paraId="790A4591"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xuất: Hiện đại hóa cơ chế kiểm tra, giám sát. Luật hóa nguyên tắc quản lý rủi ro dựa trên dữ liệu; Cho phép áp dụng công nghệ số trong hoạt động kiểm tra nhà nước đối với tàu biển.</w:t>
            </w:r>
          </w:p>
          <w:p w14:paraId="1A1BC211"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7. Tính linh hoạt trong điều chỉnh quan hệ thương mại còn hạn chế. Một số quy định trong Bộ luật còn mang tính cứng nhắc, chưa phản ánh đầy đủ nguyên tắc tự do hợp đồng và tập quán thương mại quốc tế, dẫn đến: Hạn chế khả năng thỏa thuận linh hoạt giữa các bên; Khó tương thích với các chuẩn mực quốc tế trong vận tải biển.</w:t>
            </w:r>
          </w:p>
          <w:p w14:paraId="35F0B95A"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xuất: Tăng cường tính linh hoạt và hội nhập. Khẳng định nguyên tắc tự do hợp đồng trong lĩnh vực hàng hải; Tách bạch rõ các quy định mang tính quản lý nhà nước và các quy định điều chỉnh quan hệ thương mại; Bảo đảm tương thích với các chuẩn mực và thông lệ quốc tế.</w:t>
            </w:r>
          </w:p>
        </w:tc>
        <w:tc>
          <w:tcPr>
            <w:tcW w:w="2793" w:type="dxa"/>
            <w:vAlign w:val="center"/>
          </w:tcPr>
          <w:p w14:paraId="1CA6CFA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1. Nội dung số 1 đã được quy định tại Điều 3 dự thảo.</w:t>
            </w:r>
          </w:p>
          <w:p w14:paraId="0271E9D3" w14:textId="4BC84F32"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2. Nội dung số 2, 3, 4, 6, 7. Đề nghị giữ nguyên như dự thảo để phù hợp với tinh </w:t>
            </w:r>
            <w:r w:rsidRPr="000F1EC3">
              <w:rPr>
                <w:rFonts w:ascii="Times New Roman" w:hAnsi="Times New Roman"/>
                <w:sz w:val="24"/>
              </w:rPr>
              <w:lastRenderedPageBreak/>
              <w:t xml:space="preserve">thần lập pháp hiện nay, chỉ thực hiện quy định những vẫn đề mang tính nguyên tắc tại </w:t>
            </w:r>
            <w:r w:rsidR="0081493C" w:rsidRPr="000F1EC3">
              <w:rPr>
                <w:rFonts w:ascii="Times New Roman" w:hAnsi="Times New Roman"/>
                <w:sz w:val="24"/>
              </w:rPr>
              <w:t>dự thảo</w:t>
            </w:r>
            <w:r w:rsidRPr="000F1EC3">
              <w:rPr>
                <w:rFonts w:ascii="Times New Roman" w:hAnsi="Times New Roman"/>
                <w:sz w:val="24"/>
              </w:rPr>
              <w:t xml:space="preserve"> Bộ luật, các nội dung chi tiết liên quan đến vận đơn điện từ, bảo hiểm sẽ được chuyển quy định tại các văn bản hướng dẫn thi hành.</w:t>
            </w:r>
          </w:p>
          <w:p w14:paraId="48639808" w14:textId="7C4FC0B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3. Nội dung số 5: Đề nghị giữ nguyên như dự thảo do nội dung liên quan đến rủi ro không gian mạng đã được quy định tại các luật chuyên ngành về quản lý dữ liệu trên không gian mang.</w:t>
            </w:r>
          </w:p>
          <w:p w14:paraId="6F038DDB" w14:textId="069FFE33" w:rsidR="005E54B6" w:rsidRPr="000F1EC3" w:rsidRDefault="005E54B6" w:rsidP="005E54B6">
            <w:pPr>
              <w:shd w:val="clear" w:color="auto" w:fill="FFFFFF"/>
              <w:spacing w:before="20" w:after="20"/>
              <w:jc w:val="both"/>
              <w:rPr>
                <w:rFonts w:ascii="Times New Roman" w:hAnsi="Times New Roman"/>
                <w:sz w:val="24"/>
              </w:rPr>
            </w:pPr>
          </w:p>
        </w:tc>
      </w:tr>
      <w:tr w:rsidR="005E54B6" w:rsidRPr="000F1EC3" w14:paraId="3F85E208" w14:textId="77777777" w:rsidTr="001B580E">
        <w:trPr>
          <w:gridAfter w:val="1"/>
          <w:wAfter w:w="8" w:type="dxa"/>
        </w:trPr>
        <w:tc>
          <w:tcPr>
            <w:tcW w:w="914" w:type="dxa"/>
            <w:vAlign w:val="center"/>
          </w:tcPr>
          <w:p w14:paraId="405F1320"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1A6D9383"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8C0B6BE"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Phú Thọ (văn bản số 77/DBQH-VP ngày 13/5/2026)</w:t>
            </w:r>
          </w:p>
        </w:tc>
        <w:tc>
          <w:tcPr>
            <w:tcW w:w="8872" w:type="dxa"/>
            <w:vAlign w:val="center"/>
          </w:tcPr>
          <w:p w14:paraId="142F930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1. Về sự cần thiết sửa đổi Đoàn đại biểu Quốc hội tỉnh Phú Thọ thống nhất với sự cần thiết xây dựng Bộ luật Hàng hải và Đường thủy Việt Nam (sửa đổi) nhằm thể chế hóa kịp thời các chủ trương của Đảng về phát triển kinh tế biển, hoàn thiện thể chế, đầy mạnh phân cấp, phân quyền, chuyển đổi số và phát triển xanh; đồng thời đáp ứng yêu cầu hội nhập quốc tế và nâng cao năng lực cạnh tranh của ngành vận tải thủy. Việc nghiên cứu xây dựng Bộ luật theo hướng hợp nhất Bộ luật Hàng hải Việt Nam và Luật Giao thông đường thủy nội địa cần được xem xét trên cơ sở bảo đảm tăng cường tính liên thông, đồng bộ trong quản lý hoạt động vận tải thủy, kết cấu hạ tầng và logistics. Đồng thời cần đánh giá kỹ tác động của việc hợp nhất nhằm bảo đảm không làm giảm tính chuyên sâu và tính đặc thù của pháp luật hàng hải.</w:t>
            </w:r>
          </w:p>
          <w:p w14:paraId="0028651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2. Về hồ sơ dự án Bộ luật Hồ sơ dự án Bộ luật cơ bản được chuẩn bị nghiêm túc, đầy đủ theo quy định; đã đánh giá khá toàn diện cơ sở chính trị, pháp lý và thực tiễn của lĩnh vực hàng hải, đường thủy nội địa. Tuy nhiên, đề nghị cơ quan soạn thảo tiếp tục rà soát, hoàn </w:t>
            </w:r>
            <w:r w:rsidRPr="000F1EC3">
              <w:rPr>
                <w:rFonts w:ascii="Times New Roman" w:hAnsi="Times New Roman"/>
                <w:sz w:val="24"/>
              </w:rPr>
              <w:lastRenderedPageBreak/>
              <w:t>thiện hồ sơ theo hướng: làm rõ tính khả thi và hiệu quả của việc hợp nhất hai đạo luật; đánh giá đầy đủ tác động của phân cấp, phân quyền; bảo đảm tính thống nhất với hệ thống pháp luật có liên quan; hoàn thiện quy định về chuyển đổi số, dữ liệu và hồ sơ điện tử; đồng thời làm rõ lộ trình, nguồn lực thực hiện các chính sách phát triển xanh và giảm phát thải.</w:t>
            </w:r>
          </w:p>
          <w:p w14:paraId="28B9D168" w14:textId="61A1185D"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3. Về phạm vi điều chỉnh và kỹ thuật lập pháp: Đề nghị tiếp tục rà soát kỹ phạm vi điều chỉnh của Bộ luật theo hướng bảo đảm phân định rõ giữa hoạt động hàng hải và hoạt động giao thông đường thủy nội địa; tránh quy định quá rộng dẫn đến giao thoa với các luật chuyên ngành khác. Cần rà soát việc sử dụng các khái niệm dùng chung cho cả hai lĩnh vực nhằm bảo đảm không làm mất đi tính đặc thù của từng lĩnh vực; hạn chế việc đồng nhất hóa cơ học giữa tàu biển và phương tiện thủy nội địa, giữa cảng biển và cảng, bến thủy nội địa. Đồng thời, đề nghị rà soát hệ thống thuật ngữ để bảo đảm thống nhất, dễ áp dụng, nhất là việc xác định nội hàm và tiêu chí áp dụng đối với các khái niệm như “cảng xanh”, “cảng thông minh”, “nhiên liệu thay thế”, “công nghiệp phụ trợ tàu thủy”." Bên cạnh đó, cần hạn chế việc giao quá nhiều nội dung cho Chính phủ và bộ, ngành quy định chi tiết; đối với các nội dung liên quan trực tiếp đến quyền, nghĩa vụ của tổ chức, cá nhân và điều kiện đầu tư kinh doanh cần được quy định cụ thể ngay trong Bộ luật để bảo đảm tính minh bạch và ổn định của hệ thống pháp luật.</w:t>
            </w:r>
          </w:p>
          <w:p w14:paraId="7BA35E44"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4. Về tính thống nhất với hệ thống pháp luật có liên quan Đề nghị cơ quan soạn thảo tiếp tục rà soát, bảo đảm tính thống nhất, đồng bộ của dự thảo Bộ luật với các luật có liên quan, nhất là Luật Quy hoạch, Luật Đầu tư, Luật Xây dựng, Luật Đất đai, Luật Tài nguyên, môi trường biển và hải đảo, Luật Bảo vệ môi trường, Bộ luật Dân sự và Luật Thương mại; đồng thời làm rõ cơ chế quản lý đối với kết cấu hạ tầng dùng chung, logistics và vận tải đa phương thức nhằm tránh chồng chéo trong tổ chức thực hiện.</w:t>
            </w:r>
          </w:p>
          <w:p w14:paraId="45645CFA"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5. Về phân cấp quản lý kết cấu hạ tầng và cảng, bến Đề nghị tiếp tục rà soát các quy định về quản lý cảng biển, cảng thủy nội địa, bến thủy nội địa và luồng tuyến theo hướng phân định rõ thẩm quyền, trách nhiệm quản lý nhà nước giữa trung ương và địa phương; bảo đảm thống nhất trong quản lý, khai thác và bảo trì kết cấu hạ tầng giao thông thủy. Cần đánh giá đầy đủ tính khả thi của việc phân cấp cho địa phương trong điều kiện tổ chức chính quyền địa phương 02 cấp; bảo đảm phân cấp đi đôi với phân định rõ trách nhiệm, nguồn lực và cơ chế kiểm tra, giám sát. Đối với các tuyến vận tải thủy liên tỉnh, tuyến kết nối cảng biển hoặc tuyến có ý nghĩa quốc gia, liên vùng, đề nghị xác định rõ cơ quan chủ trì quản lý, bảo đảm thống nhất, đồng bộ trong điều hành và khai thác.</w:t>
            </w:r>
          </w:p>
          <w:p w14:paraId="364FA97B"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6. Về chuyển đổi số và dữ liệu số </w:t>
            </w:r>
          </w:p>
          <w:p w14:paraId="2925922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Đề nghị tiếp tục hoàn thiện các quy định về dữ liệu số và hồ sơ điện từ trong lĩnh vực hàng hải, đường thủy nội địa; bảo đảm cơ chế kết nối, chia sẻ dữ liệu đồng bộ, xác định rõ giá trị pháp lý của chứng từ điện tử và tính thống nhất với pháp luật về giao dịch điện tử, dữ liệu và an ninh mạng. </w:t>
            </w:r>
          </w:p>
          <w:p w14:paraId="21658E8F"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7. Về phát triển xanh và giảm phát thải </w:t>
            </w:r>
          </w:p>
          <w:p w14:paraId="501ABEF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Đề nghị cơ quan soạn thảo làm rõ tiêu chí, lộ trình và cơ chế thực hiện các chính sách phát triển xanh, giảm phát thải và chuyển đổi năng lượng trong lĩnh vực hàng hải, đường thủy nội địa; đồng thời đánh giá kỹ tác động chi phí tuân thủ để bảo đảm tính khả thi </w:t>
            </w:r>
          </w:p>
          <w:p w14:paraId="2D1DF53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8. Về nội luật hóa điều ước quốc tế </w:t>
            </w:r>
          </w:p>
          <w:p w14:paraId="7154D169"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nghị tiếp tục rà soát mức độ tương thích của dự thảo Bộ luật với các công ước quốc tế mà Việt Nam là thành viên, nhất là các công ước của IMO liên quan đến an toàn hàng hải, bảo vệ môi trường biển, phát thải khí nhà kính, tiêu chuẩn huấn luyện thuyền viên và chứng từ điện tử; đồng thời đánh giá đầy đủ khả năng thực thi trong điều kiện của Việt Nam.</w:t>
            </w:r>
          </w:p>
        </w:tc>
        <w:tc>
          <w:tcPr>
            <w:tcW w:w="2793" w:type="dxa"/>
            <w:vAlign w:val="center"/>
          </w:tcPr>
          <w:p w14:paraId="5DF29D35" w14:textId="7FAFB06F"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Tiếp thu, cơ quan chủ trì soạn thảo </w:t>
            </w:r>
            <w:r w:rsidR="003C72A0" w:rsidRPr="000F1EC3">
              <w:rPr>
                <w:rFonts w:ascii="Times New Roman" w:hAnsi="Times New Roman"/>
                <w:sz w:val="24"/>
              </w:rPr>
              <w:t xml:space="preserve">đã </w:t>
            </w:r>
            <w:r w:rsidRPr="000F1EC3">
              <w:rPr>
                <w:rFonts w:ascii="Times New Roman" w:hAnsi="Times New Roman"/>
                <w:sz w:val="24"/>
              </w:rPr>
              <w:t xml:space="preserve">rà soát, hoàn thiện </w:t>
            </w:r>
            <w:r w:rsidR="003C72A0" w:rsidRPr="000F1EC3">
              <w:rPr>
                <w:rFonts w:ascii="Times New Roman" w:hAnsi="Times New Roman"/>
                <w:sz w:val="24"/>
              </w:rPr>
              <w:t>các quy định tại dự thảo</w:t>
            </w:r>
            <w:r w:rsidRPr="000F1EC3">
              <w:rPr>
                <w:rFonts w:ascii="Times New Roman" w:hAnsi="Times New Roman"/>
                <w:sz w:val="24"/>
              </w:rPr>
              <w:t xml:space="preserve"> để bảo đảm tính khoa học</w:t>
            </w:r>
            <w:r w:rsidR="0081493C" w:rsidRPr="000F1EC3">
              <w:rPr>
                <w:rFonts w:ascii="Times New Roman" w:hAnsi="Times New Roman"/>
                <w:sz w:val="24"/>
              </w:rPr>
              <w:t xml:space="preserve"> của nội hàm quy định</w:t>
            </w:r>
            <w:r w:rsidRPr="000F1EC3">
              <w:rPr>
                <w:rFonts w:ascii="Times New Roman" w:hAnsi="Times New Roman"/>
                <w:sz w:val="24"/>
              </w:rPr>
              <w:t xml:space="preserve">, phù hợp, thống nhất </w:t>
            </w:r>
            <w:r w:rsidR="0081493C" w:rsidRPr="000F1EC3">
              <w:rPr>
                <w:rFonts w:ascii="Times New Roman" w:hAnsi="Times New Roman"/>
                <w:sz w:val="24"/>
              </w:rPr>
              <w:t xml:space="preserve">với các quy định liên quan </w:t>
            </w:r>
            <w:r w:rsidRPr="000F1EC3">
              <w:rPr>
                <w:rFonts w:ascii="Times New Roman" w:hAnsi="Times New Roman"/>
                <w:sz w:val="24"/>
              </w:rPr>
              <w:t>và hài hòa, phù hợp với thực tiễn</w:t>
            </w:r>
            <w:r w:rsidR="0081493C" w:rsidRPr="000F1EC3">
              <w:rPr>
                <w:rFonts w:ascii="Times New Roman" w:hAnsi="Times New Roman"/>
                <w:sz w:val="24"/>
              </w:rPr>
              <w:t>.</w:t>
            </w:r>
          </w:p>
        </w:tc>
      </w:tr>
      <w:tr w:rsidR="005E54B6" w:rsidRPr="000F1EC3" w14:paraId="380AE8D5" w14:textId="77777777" w:rsidTr="001B580E">
        <w:trPr>
          <w:gridAfter w:val="1"/>
          <w:wAfter w:w="8" w:type="dxa"/>
        </w:trPr>
        <w:tc>
          <w:tcPr>
            <w:tcW w:w="914" w:type="dxa"/>
            <w:vAlign w:val="center"/>
          </w:tcPr>
          <w:p w14:paraId="0E3D1657"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588EBB61"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6B765C8"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Hiệp hội Đại lý, Môi giới và Dịch vụ Hàng hải (văn bản số 009/CV VSB ngày 10/5/2026)</w:t>
            </w:r>
          </w:p>
        </w:tc>
        <w:tc>
          <w:tcPr>
            <w:tcW w:w="8872" w:type="dxa"/>
            <w:vAlign w:val="center"/>
          </w:tcPr>
          <w:p w14:paraId="74C898E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Về quy định thời điểm chốt giao hàng (Closing time): Trong thực tế khai thác tại một số cảng container, việc giao container trực tiếp cạnh tàu (shipside) khiến cảng khó áp dụng cơ chế closing time, làm gián đoạn kế hoạch xếp tàu và ảnh hưởng đến năng suất xếp dỡ. Việc tập trung lượng lớn phương tiện và container trong thời điểm tàu khai thác còn có thể gây ủn tắc cục bộ tại cổng cảng, cầu dẫn và khu vực cầu tàu, gây khó khăn cho công tác điều phối khai thác và tiểm ần rủi ro ùn tắc kéo dài ảnh hưởng đến hoạt động lưu thông trong khu vực cảng. Thực tế cho thấy, đối với tàu container khoảng 1.000 moves, việc phát sinh hàng shipside có thể làm tăng thêm khoảng 3 giờ tàu năm cầu, làm giảm hiệu quả khai thác và phát sinh chi phí cho cảng và hãng tàu.</w:t>
            </w:r>
          </w:p>
          <w:p w14:paraId="4E9F8BE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xuất: Bổ sung quy định về thời điểm chốt giao hàng (closing time) đối với container xuất khẩu tại cảng biển. Theo đó, quy định closing time tối thiểu là 24 giờ và tối đa là 48 giờ trước khi tàu khai thác, nhằm đảm bảo phù hợp với thông lệ quốc tế, đảm bảo cảng có đủ thời gian lập kế hoạch xếp tàu và chuẩn hóa sơ đồ xếp container. Sau thời điểm closing time, không tiếp nhận container đưa trực tiếp ra tàu (shipside), trừ các trường hợp đặc biệt theo quy định của cơ quan quản lý cảng.</w:t>
            </w:r>
          </w:p>
        </w:tc>
        <w:tc>
          <w:tcPr>
            <w:tcW w:w="2793" w:type="dxa"/>
            <w:vAlign w:val="center"/>
          </w:tcPr>
          <w:p w14:paraId="59C6BB43" w14:textId="55F1A84C"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Đề nghị giữ nguyên như dự thảo, nội dung kiến nghị được tổng hợp, nghiên cứu, quy định tại văn bản hướng dẫn thực hiện.</w:t>
            </w:r>
          </w:p>
        </w:tc>
      </w:tr>
      <w:tr w:rsidR="005E54B6" w:rsidRPr="000F1EC3" w14:paraId="39A1EFB1" w14:textId="77777777" w:rsidTr="001B580E">
        <w:trPr>
          <w:gridAfter w:val="1"/>
          <w:wAfter w:w="8" w:type="dxa"/>
        </w:trPr>
        <w:tc>
          <w:tcPr>
            <w:tcW w:w="914" w:type="dxa"/>
            <w:vAlign w:val="center"/>
          </w:tcPr>
          <w:p w14:paraId="15931803"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470CDC6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36FD619"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sz w:val="24"/>
              </w:rPr>
              <w:t>Hội Luật gia Việt Nam (văn bản số 186/HLGVN-NCPL ngày 8/5/2026)</w:t>
            </w:r>
          </w:p>
        </w:tc>
        <w:tc>
          <w:tcPr>
            <w:tcW w:w="8872" w:type="dxa"/>
            <w:vAlign w:val="center"/>
          </w:tcPr>
          <w:p w14:paraId="04755AE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1. Về phân cấp, phân quyền và cơ chế quản lý nhà nước</w:t>
            </w:r>
          </w:p>
          <w:p w14:paraId="252CC68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 Dự thảo đã thiết kế nhiều quy định thể hiện rõ tinh thần phân cấp, phân quyền, tuy nhiên cần nghiên cứu, đẩy mạnh phân cấp thực chất, mạnh dạn hơn nữa trong phân cấp cho địa phương, cơ quan cảng, giao quyền chủ động cho doanh nghiệp khai thác cảng và đẩy mạnh cơ chế tự chịu trách nhiệm. Đồng thời phân cấp, phân quyền đi đôi với thiết kế quy định </w:t>
            </w:r>
            <w:r w:rsidRPr="000F1EC3">
              <w:rPr>
                <w:rFonts w:ascii="Times New Roman" w:hAnsi="Times New Roman"/>
                <w:sz w:val="24"/>
              </w:rPr>
              <w:lastRenderedPageBreak/>
              <w:t>nhằm tiêu chuẩn hóa, kiểm soát quyền lực, minh bạch dữ liệu, trách nhiệm giải trình và giám sát.</w:t>
            </w:r>
          </w:p>
          <w:p w14:paraId="41C9F46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 Thực tiễn hiện nay, hoạt động hàng hải và đường thủy đang chịu tác động quản lý của nhiều cơ quan (Giao thông vận tải; Hải quan; Quốc phòng; Công an; Môi trường; Chính quyền địa phương...), điều này dễ gây trùng lặp kiểm tra, kéo dài thủ tục hành chính, gia tăng chỉ phí logistics và nguy cơ phát sinh tiêu cực. Do vậy, nếu có thể thì nghiên cứu thiết kế thực hiện mạnh cơ chế “một cửa số hóa”, tích hợp dữ liệu quản lý, giảm đầu mối kiểm tra trực tiếp...</w:t>
            </w:r>
          </w:p>
          <w:p w14:paraId="7CEE2DB0" w14:textId="77777777" w:rsidR="0081493C"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2. Về phát triển cảng biển, logistics và kinh tế biển: Việt Nam có vị trí địa chính trị - kinh tế rất quan trọng nhưng chưa hình thành được trung tâm trung chuyển quốc tế mạnh, dự thảo Bộ luật đã thiết kế cơ chế ưu đãi đặc thù, chính sách thu hút hãng tàu lớn...và nếu được có thể thiết kế quy định ưu đãi đặc thù mạnh hơn nữa. </w:t>
            </w:r>
          </w:p>
          <w:p w14:paraId="7BB0E8F4" w14:textId="12B9CCB0"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3. Về môi trường, chuyển đổi xanh và phát triển bền vũng: Một số quy định trong dự thảo mới dừng ở mức khái niệm, cần quy định rõ cả về lộ trình chuyển đổi xanh như lộ trình giảm phát thải, chuẩn nhiên liệu xanh, chuẩn cảng xanh, cơ chế hỗ trợ chuyển đổi tàu cũ...</w:t>
            </w:r>
          </w:p>
          <w:p w14:paraId="4CE5CFE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3. Về cơ chế giải quyết tranh chấp: Dự thảo tại Chương XIX mới chỉ quy định về giải quyết tranh chấp trong hoạt động hàng hải, thiếu quy định về giải quyết tranh chấp về giao thông đường thủy nội địa.</w:t>
            </w:r>
          </w:p>
          <w:p w14:paraId="2766978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4. Dự thảo hiện giao cho Chính phủ khoảng 80 nội dung quy định chi tiết, đề nghị nghiên cứu, rà soát quy định nào có thể đưa trực tiếp vào luật nhằm tăng tính minh bạch và khả năng áp dụng trực tiếp, tránh khả năng phát sinh “giấy phép con".</w:t>
            </w:r>
          </w:p>
        </w:tc>
        <w:tc>
          <w:tcPr>
            <w:tcW w:w="2793" w:type="dxa"/>
            <w:vAlign w:val="center"/>
          </w:tcPr>
          <w:p w14:paraId="1C64A3E1" w14:textId="77777777"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Các nội dung liên quan đến phân cấp, phân quyền tiếp tục được hoàn thiện, đẩy mạnh tại Điều 12 dự thảo.</w:t>
            </w:r>
          </w:p>
          <w:p w14:paraId="441F80F1" w14:textId="77777777" w:rsidR="0081493C"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Nội dung liên quan đến giải quyết tranh chấp chỉ </w:t>
            </w:r>
            <w:r w:rsidRPr="000F1EC3">
              <w:rPr>
                <w:rFonts w:ascii="Times New Roman" w:hAnsi="Times New Roman"/>
                <w:sz w:val="24"/>
              </w:rPr>
              <w:lastRenderedPageBreak/>
              <w:t>áp dụng đối với lĩnh vực hàng hải do đây là nhóm quy định đặc thù, có yếu tố nước ngoài.</w:t>
            </w:r>
          </w:p>
          <w:p w14:paraId="25D00D7B" w14:textId="4C158643" w:rsidR="0081493C"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Các nội dung góp ý khác đề nghị giữ nguyên như dự thảo để đảm bảo tính quy định khung, nguyên tắc của dự thảo Bộ luật. Các nội dung này dự kiến được nghiên cứu, quy định tại các văn bản dưới Luật.</w:t>
            </w:r>
          </w:p>
        </w:tc>
      </w:tr>
      <w:tr w:rsidR="005E54B6" w:rsidRPr="000F1EC3" w14:paraId="6FDE5656" w14:textId="77777777" w:rsidTr="001B580E">
        <w:trPr>
          <w:gridAfter w:val="1"/>
          <w:wAfter w:w="8" w:type="dxa"/>
        </w:trPr>
        <w:tc>
          <w:tcPr>
            <w:tcW w:w="914" w:type="dxa"/>
            <w:vAlign w:val="center"/>
          </w:tcPr>
          <w:p w14:paraId="14752222"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6CAB3B1B"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00762F7"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366C3D6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1. Về chính sách phát triển cảng biển và logistics Dự thảo đã bước đầu tiếp cận xu hướng phát triển logistics hiện đại, tuy nhiên vẫn thiên về quản lý hành chính hạ tầng hơn là phát triển hệ sinh thái logistics. Đề nghị bổ sung các nguyên tắc: (1) Phát triển cảng biển theo mô hình trung tâm logistics tích hợp; (2) Khuyến khích cảng trung chuyển quốc tế; (3) Khuyến khích đầu tư cảng xanh, cảng thông minh; (4) Áp dụng cơ chế sandbox đối với công nghệ logistics mới; (5) Thừa nhận chứng từ điện tử, vận đơn điện tử, hợp đồng điện tử hàng hải. Hiện nay, nhiều quốc gia đã chuyển mạnh sang mô hình quản trị hàng hải thông minh (smart maritime governance), là một phương pháp tiếp cận hiện đại, tích hợp công nghệ số, dữ liệu lớn và các giải pháp bền vững để quản lý, vận hành và giám sát các hoạt động biển, cảng biển và chuỗi cung ứng logistics. Nếu Bộ luật không tạo hành lang pháp lý cho quản trị số ngành hàng hải thì nguy cơ tụt hậu là rất rõ. Đề nghị cơ quan soạn thảo nghiên cứu bổ sung. </w:t>
            </w:r>
          </w:p>
          <w:p w14:paraId="717D5211"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2. Về thủ tục hành chính Dự thảo vẫn còn dấu hiệu duy trì tư duy “tiền kiểm”, nhiều thủ tục cấp phép, chấp thuận, xác nhận chưa được lượng hóa điều kiện cụ thể. Đề nghị thể hiện các nội dung điều khoản theo hướng chuyển mạnh sang hậu kiểm; áp dụng quản lý rủi ro; chuẩn hóa dữ liệu dùng chung; liên thông dữ liệu đăng kiểm – đăng ký - khai thác cảng và tích hợp với cơ chế một cửa quốc gia. Bên cạnh đó, đề nghị rà soát kỹ nguy cơ phát sinh “giấy phép con” trong các điều khoản giao Chính phủ hoặc Bộ trưởng quy định chi tiết. </w:t>
            </w:r>
          </w:p>
          <w:p w14:paraId="6FC24AF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3. Về bảo vệ môi trường và phát triển xanh Đây là một trong những nội dung còn khá mờ nhạt trong dự thảo. Trong khi Tổ chức Hàng hải Quốc tế (IMO) đang thúc đẩy mục tiêu phát thải ròng bằng 0, nhiều quốc gia đã áp dụng cơ chế thuế carbon và tiêu chuẩn nhiên liệu xanh cho vận tải biển. Nếu Bộ luật chỉ dừng ở các quy định môi trường truyền thống thì sẽ nhanh chóng lạc hậu trước xu hướng quốc tế. Do vậy, đề nghị bổ sung nội dung các quy định về: Nguyên tắc phát triển vận tải thủy carbon thấp; cơ chế khuyến khích nhiên liệu sạch; trách nhiệm giảm phát thải khí nhà kính; cơ chế kiểm kê phát thải đối với tàu biển; chính sách ưu đãi cảng xanh; quy định về tín chỉ carbon hàng hải. </w:t>
            </w:r>
          </w:p>
          <w:p w14:paraId="0BC3ACA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4. Về an ninh mạng và dữ liệu số hàng hải Dự thảo chưa dành sự quan tâm tương xứng tới an ninh mạng hàng hải, trong cảng biển, điều độ tàu, vận đơn và hải trình đang số hóa mạnh mẽ và có nguy cơ bị tấn công mạng vào hệ thống hàng hải là rất lớn. Do vậy, đề nghị bổ sung: Nguyên tắc bảo vệ dữ liệu hàng hải; cơ chế an ninh mạng đối với cảng thông minh; trách nhiệm bảo mật dữ liệu vận tải; chế độ chia sẻ dữ liệu giữa các cơ quan; quy định về lưu trữ dữ liệu tại Việt Nam đối với dữ liệu trọng yếu. </w:t>
            </w:r>
          </w:p>
          <w:p w14:paraId="6CC2FC99"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5. Về cơ chế xã hội hóa đầu tư hạ tầng Hiện trong Dự thảo có nhiều quy định còn mang tính nguyên tắc chung, chưa đủ hấp dẫn nhà đầu tư chiến lược. Đề nghị cần làm rõ hơn: Cơ chế huy động vốn tư nhân; cơ chế hợp tác công - tư (PPP) trong cảng biển; khai thác tài sản kết cấu hạ tầng; phân chia rủi ro trong đầu tư luồng tuyến.</w:t>
            </w:r>
          </w:p>
          <w:p w14:paraId="0F615E7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6. Về kỹ thuật lập pháp Dự thảo còn nhiều vấn đề về kỹ thuật như: Nhiều điều quá dài; có điều vừa quy định nguyên tắc vừa quy định thủ tục; thuật ngữ chưa thống nhất; một số nội dung thuộc nghị định nhưng đưa lên thành điều luật… Đề nghị cơ quan soạn thảo: Chuẩn hóa cấu trúc điều khoản, tách nguyên tắc khỏi thủ tục; giảm tối đa việc giao quy định chi tiết…</w:t>
            </w:r>
          </w:p>
        </w:tc>
        <w:tc>
          <w:tcPr>
            <w:tcW w:w="2793" w:type="dxa"/>
            <w:vAlign w:val="center"/>
          </w:tcPr>
          <w:p w14:paraId="24DF202E" w14:textId="59E16D6F" w:rsidR="0081493C"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Tiếp thu, dự thảo đã được rà soát, điều chỉnh đảm bảo tính khoa học, rõ ràng của quy định. Đồng thời, đảm bảo nguyên tắc luật chỉ quy định những vấn đề khung, vấn đề nguyên tắc, các nội dung liên quan đến tổ chức thực hiện chi tiết được giao cho Chính phủ thống nhất thực hiện.</w:t>
            </w:r>
          </w:p>
          <w:p w14:paraId="2570B50C" w14:textId="30294C9D" w:rsidR="0081493C"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Riêng nội dung liên quan đến TTHC, cơ quan chủ trì </w:t>
            </w:r>
            <w:r w:rsidRPr="000F1EC3">
              <w:rPr>
                <w:rFonts w:ascii="Times New Roman" w:hAnsi="Times New Roman"/>
                <w:sz w:val="24"/>
              </w:rPr>
              <w:lastRenderedPageBreak/>
              <w:t>soạn thảo đã rà soát, đảm bảo chỉ quy định khung cho những thủ tục hành chính thực sự cần thiết, bãi bỏ</w:t>
            </w:r>
            <w:r w:rsidR="003C72A0" w:rsidRPr="000F1EC3">
              <w:rPr>
                <w:rFonts w:ascii="Times New Roman" w:hAnsi="Times New Roman"/>
                <w:sz w:val="24"/>
              </w:rPr>
              <w:t>, cắt giảm tối đa điều kiện kinh doanh để tạo thuận lợi cho người dân, doanh nghiệp</w:t>
            </w:r>
          </w:p>
        </w:tc>
      </w:tr>
      <w:tr w:rsidR="005E54B6" w:rsidRPr="000F1EC3" w14:paraId="6999D419" w14:textId="77777777" w:rsidTr="001B580E">
        <w:trPr>
          <w:gridAfter w:val="1"/>
          <w:wAfter w:w="8" w:type="dxa"/>
        </w:trPr>
        <w:tc>
          <w:tcPr>
            <w:tcW w:w="914" w:type="dxa"/>
            <w:vAlign w:val="center"/>
          </w:tcPr>
          <w:p w14:paraId="3FA31E4C"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6FCE2997"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31E79D8"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sz w:val="24"/>
              </w:rPr>
              <w:t>Bộ Công Thương (văn bản số 3357/BCT-</w:t>
            </w:r>
            <w:r w:rsidRPr="000F1EC3">
              <w:rPr>
                <w:rFonts w:ascii="Times New Roman" w:hAnsi="Times New Roman"/>
                <w:b/>
                <w:sz w:val="24"/>
              </w:rPr>
              <w:lastRenderedPageBreak/>
              <w:t>PC ngày 13/5/2026)</w:t>
            </w:r>
          </w:p>
        </w:tc>
        <w:tc>
          <w:tcPr>
            <w:tcW w:w="8872" w:type="dxa"/>
            <w:vAlign w:val="center"/>
          </w:tcPr>
          <w:p w14:paraId="5335343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1. Đối với các nội dung giao trách nhiệm cho các Bộ, ngành tại dự thảo Bộ luật Đề nghị rà soát nội dung quy định giao nhiệm vụ, quyền hạn của Bộ, ngành tại Điều 13 và các điều khoản khác của dự thảo Bộ luật đảm bảo phù hợp với chỉ đạo của Thủ tướng Chính phủ tại Mục 2 Văn bản số 435/TTg-TCCV ngày 25 tháng 4 năm 2026 của Thủ tướng Chính phủ về việc sửa đổi, bổ sung các luật, nghị quyết của Quốc hội, pháp lệnh, nghị quyết của Ủy </w:t>
            </w:r>
            <w:r w:rsidRPr="000F1EC3">
              <w:rPr>
                <w:rFonts w:ascii="Times New Roman" w:hAnsi="Times New Roman"/>
                <w:sz w:val="24"/>
              </w:rPr>
              <w:lastRenderedPageBreak/>
              <w:t>ban Thường vụ Quốc hội bảo đảm theo các nguyên tắc tại Luật Tổ chức Chính phủ: “Không quy định cụ thể tên Bộ, ngành và nhiệm vụ, quyền hạn cụ thể của Bộ, ngành tại dự thảo luật, nghị quyết, pháp lệnh, bảo đảm quy định những vấn đề thuộc thẩm quyền của Quốc hội theo quy định của Hiến pháp; không phân quyền trực tiếp cho các Bộ trưởng tại luật, pháp lệnh, nghị quyết, bảo đảm Chính phủ thống nhất quản lý nhà nước về các ngành, lĩnh vực và thực hiện phân công phạm vi quản lý nhà nước cho các Bộ, cơ quan ngang Bộ theo quy định của Luật Tổ chức Chính phủ. Đối với các vấn đề về bảo đảm quyền con người, quyền công dân; liên quan đến quốc phòng, an ninh quốc gia, trật tự, an toàn xã hội; trình tự tố tụng; thực hiện các khuyến nghị, cam kết, thỏa thuận quốc tế hoặc vấn đề khác được xác định là cơ bản, quan trọng thuộc thẩm quyền quyết định của Quốc hội cần thiết quy định cụ thể nhiệm vụ, quyền hạn của Bộ trưởng, Thủ trưởng cơ quan ngang Bộ tại các luật, cơ quan chủ trì soạn thảo cần giải trình rõ sự cần thiết trong quá trình xây dựng luật để tham mưu Chính phủ trình Quốc hội xem xét, quyết định theo thẩm quyền.”</w:t>
            </w:r>
          </w:p>
          <w:p w14:paraId="3B207579"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2. Nội dung dự thảo Bộ luật có một số nội dung liên quan đến bến cảng dầu khí ngoài khơi (khoản 18 Điều 4), đăng kiểm công trình dầu khí trên biển (Điều 69), đề nghị cơ quan chủ trì soạn thảo lấy ý kiến các nhà thầu dầu khí, Tập đoàn Công nghiệp – Năng lượng Quốc gia Việt Nam và các đơn vị, cá nhân chịu ảnh hưởng trực tiếp của các quy định này.</w:t>
            </w:r>
          </w:p>
          <w:p w14:paraId="674780D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3. Tại các Điều 24 đến Điều 28 và Điều 39 của dự thảo Bộ luật hiện vẫn còn một số nội dung xây dựng theo các phương án khác nhau, đặc biệt liên quan đến: khái niệm, phân loại cảng thủy nội địa; cơ chế quản lý, khai thác kết cấu hạ tầng; thời hạn hoạt động và chuyển giao dự án bến cảng biển. Đề nghị cơ quan soạn thảo có đánh giá tác động đầy đủ đối với từng phương án; làm rõ cơ sở pháp lý, cơ sở thực tiễn, tính khả thi và tác động đối với hoạt động đầu tư, khai thác hạ tầng logistics, từ đó đề xuất phương án tối ưu trước khi hoàn thiện hồ sơ trình cấp có thẩm quyền.</w:t>
            </w:r>
          </w:p>
          <w:p w14:paraId="3D26A8C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4. Về minh bạch phí và lệ phí:</w:t>
            </w:r>
          </w:p>
          <w:p w14:paraId="0F267B2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Về niêm yết giá và phụ thu tại Điều 154: Dự thảo Bộ luật đã tách bạch rõ giữa giá dịch vụ và các loại phụ thu của hãng tàu (như vệ sinh container, kẹp chì...). Điều này rất quan trọng đối với các doanh nghiệp xuất nhập khẩu để kiểm soát chi phí logistics thực tế và ngăn ngừa các khoản thu bất hợp lý từ các hãng tàu nước ngoài. </w:t>
            </w:r>
          </w:p>
          <w:p w14:paraId="524EF68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Về phát triển cảng container đường thủy: Việc bổ sung quy định quản lý giá dịch vụ xếp dỡ container tại cảng thủy nội địa tương đương như cảng biển sẽ thúc đẩy phát triển hệ thống cảng vệ tinh, hỗ trợ hiệu quả cho việc gom hàng xuất khẩu. </w:t>
            </w:r>
          </w:p>
          <w:p w14:paraId="3A54B32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Về vấn đề giảm phát thải theo cam kết quốc tế: </w:t>
            </w:r>
          </w:p>
          <w:p w14:paraId="5E6A6ACF"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Dự thảo Bộ luật đã bước đầu nội luật hóa các cam kết và xu hướng quốc tế về phát triển vận tải biển xanh, giảm phát thải khí nhà kính, như quy định doanh nghiệp thực hiện kiểm kê, báo cáo phát thải và tham gia cơ chế trao đổi tín chỉ carbon; chính sách ưu đãi đối với vận tải biển xanh, sử dụng nhiên liệu thay thế giảm phát thải; cũng như yêu cầu xây dựng kế hoạch thực hiện chiến lược giảm phát thải khí nhà kính theo quy định của Tổ chức Hàng hải Quốc tế (IMO). </w:t>
            </w:r>
          </w:p>
          <w:p w14:paraId="33908082"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Tuy nhiên, đề nghị cơ quan soạn thảo tiếp tục nghiên cứu, hoàn thiện các cơ chế quản lý và kiểm soát phát thải khí nhà kính trong lĩnh vực hàng hải và đường thủy nội địa, đặc biệt: </w:t>
            </w:r>
          </w:p>
          <w:p w14:paraId="499ED7F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(i) nghiên cứu lộ trình và cơ chế định giá carbon, thuế carbon phù hợp với điều kiện phát triển của Việt Nam và xu hướng quốc tế;</w:t>
            </w:r>
          </w:p>
          <w:p w14:paraId="6DD0D9C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(ii) bổ sung các công cụ quản lý, giám sát phát thải và cơ chế khuyến khích doanh nghiệp thực hiện chuyển đổi xanh; </w:t>
            </w:r>
          </w:p>
          <w:p w14:paraId="004085F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(iii) đánh giá đầy đủ tác động đối với doanh nghiệp vận tải, xuất nhập khẩu và logistics nhằm bảo đảm tính khả thi và hạn chế phát sinh chi phí tuân thủ trong quá trình triển khai thực hiện. </w:t>
            </w:r>
          </w:p>
          <w:p w14:paraId="465FE4D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Hiện nay, các cơ chế như Cơ chế điều chỉnh biên giới carbon (CBAM) của EU và Anh, cũng như các quy định về phát triển bền vững, bao bì và phát thải trong chuỗi cung ứng tại các thị trường lớn đang đặt ra yêu cầu ngày càng nghiêm ngặt đối với hoạt động sản xuất, vận tải và logistics. Việc không đáp ứng các tiêu chuẩn xanh có thể ảnh hưởng trực tiếp đến khả năng tham gia chuỗi cung ứng toàn cầu và năng lực tiếp cận thị trường của doanh nghiệp. </w:t>
            </w:r>
          </w:p>
          <w:p w14:paraId="67DAE7F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Đối với doanh nghiệp xuất khẩu Việt Nam, logistics xanh và vận tải phát thải thấp đang dần trở thành yêu cầu bắt buộc tại các thị trường như EU, Hoa Kỳ, Anh, Nhật Bản và Hàn Quốc... Do đó, việc hoàn thiện hành lang pháp lý về chuyển đổi xanh trong lĩnh vực hàng hải và đường thủy nội địa không chỉ góp phần thực hiện mục tiêu phát thải ròng bằng “0” vào năm 2050 của Việt Nam, mà còn hỗ trợ doanh nghiệp nâng cao năng lực cạnh tranh, duy trì và mở rộng thị trường xuất khẩu trong bối cảnh các tiêu chuẩn thương mại xanh ngày càng gia tăng.</w:t>
            </w:r>
          </w:p>
        </w:tc>
        <w:tc>
          <w:tcPr>
            <w:tcW w:w="2793" w:type="dxa"/>
            <w:vAlign w:val="center"/>
          </w:tcPr>
          <w:p w14:paraId="0A8A1984" w14:textId="77777777" w:rsidR="005E54B6" w:rsidRPr="000F1EC3" w:rsidRDefault="0081493C" w:rsidP="005E54B6">
            <w:pPr>
              <w:shd w:val="clear" w:color="auto" w:fill="FFFFFF"/>
              <w:spacing w:before="20" w:after="20"/>
              <w:jc w:val="both"/>
              <w:rPr>
                <w:rFonts w:ascii="Times New Roman" w:hAnsi="Times New Roman"/>
                <w:sz w:val="22"/>
                <w:szCs w:val="22"/>
              </w:rPr>
            </w:pPr>
            <w:r w:rsidRPr="000F1EC3">
              <w:rPr>
                <w:rFonts w:ascii="Times New Roman" w:hAnsi="Times New Roman"/>
                <w:sz w:val="22"/>
                <w:szCs w:val="22"/>
              </w:rPr>
              <w:lastRenderedPageBreak/>
              <w:t xml:space="preserve">1. Tiếp thu, cơ quan chủ trì soạn thảo đã rà soát các nội dung của dự thảo, đảm bảo không quy định nhiệm vụ và quyền hạn cụ thể của Bộ, </w:t>
            </w:r>
            <w:r w:rsidRPr="000F1EC3">
              <w:rPr>
                <w:rFonts w:ascii="Times New Roman" w:hAnsi="Times New Roman"/>
                <w:sz w:val="22"/>
                <w:szCs w:val="22"/>
              </w:rPr>
              <w:lastRenderedPageBreak/>
              <w:t>ngành tại dự thảo Bộ luật; không phân quyền trực tiếp cho các Bộ trưởng tại dự thảo Bộ luật; không lồng ghép các quy định về tổ chức bộ máy, biên chế vào các luật, pháp lệnh, nghị quyết của Quốc hội, Ủy ban Thường vụ Quốc hội không thuộc lĩnh vực tổ chức bộ máy nhà nước.</w:t>
            </w:r>
          </w:p>
          <w:p w14:paraId="3A865298" w14:textId="77777777" w:rsidR="0081493C" w:rsidRPr="000F1EC3" w:rsidRDefault="0081493C" w:rsidP="005E54B6">
            <w:pPr>
              <w:shd w:val="clear" w:color="auto" w:fill="FFFFFF"/>
              <w:spacing w:before="20" w:after="20"/>
              <w:jc w:val="both"/>
              <w:rPr>
                <w:rFonts w:ascii="Times New Roman" w:hAnsi="Times New Roman"/>
                <w:sz w:val="22"/>
                <w:szCs w:val="22"/>
              </w:rPr>
            </w:pPr>
            <w:r w:rsidRPr="000F1EC3">
              <w:rPr>
                <w:rFonts w:ascii="Times New Roman" w:hAnsi="Times New Roman"/>
                <w:sz w:val="22"/>
                <w:szCs w:val="22"/>
              </w:rPr>
              <w:t xml:space="preserve">2. Hồ sơ dự án Bộ luật đã được gửi xin ý kiến các Bộ, ngành, địa phương, Hiệp hội, doanh nghiệp liên quan, đồng thời, thực hiện đăng tải công khai trên Cổng Thông tin điện tử của Bộ. </w:t>
            </w:r>
          </w:p>
          <w:p w14:paraId="098B8AFC" w14:textId="5DD4FE90" w:rsidR="0081493C"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3. Đối với các Điều, khoản đề xuất 02 phương án tại Chương II dự thảo xin ý kiến</w:t>
            </w:r>
            <w:r w:rsidR="003C72A0" w:rsidRPr="000F1EC3">
              <w:rPr>
                <w:rFonts w:ascii="Times New Roman" w:hAnsi="Times New Roman"/>
                <w:sz w:val="24"/>
              </w:rPr>
              <w:t>:</w:t>
            </w:r>
            <w:r w:rsidRPr="000F1EC3">
              <w:rPr>
                <w:rFonts w:ascii="Times New Roman" w:hAnsi="Times New Roman"/>
                <w:sz w:val="24"/>
              </w:rPr>
              <w:t xml:space="preserve"> cơ quan chủ trì soạn thảo đã thực hiện rà soát, chỉnh sửa theo hướng sửa đổi, bổ sung các quy định chỉ mang tính nguyên tắc, các nội dung chi tiết được chuyển quy định tại văn bản hướng dẫn thi hành.</w:t>
            </w:r>
          </w:p>
          <w:p w14:paraId="5401F17B" w14:textId="48AA185F" w:rsidR="0081493C"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4. </w:t>
            </w:r>
            <w:r w:rsidR="00472C5A" w:rsidRPr="000F1EC3">
              <w:rPr>
                <w:rFonts w:ascii="Times New Roman" w:hAnsi="Times New Roman"/>
                <w:sz w:val="24"/>
              </w:rPr>
              <w:t xml:space="preserve">Các </w:t>
            </w:r>
            <w:r w:rsidRPr="000F1EC3">
              <w:rPr>
                <w:rFonts w:ascii="Times New Roman" w:hAnsi="Times New Roman"/>
                <w:sz w:val="24"/>
              </w:rPr>
              <w:t>nội dung mang tính quy định chi tiết dự kiến sẽ được tổng hợp, nghiên cứu, tiếp thu khi xây dựng các văn bản hướng dẫn thi hành.</w:t>
            </w:r>
          </w:p>
        </w:tc>
      </w:tr>
      <w:tr w:rsidR="005E54B6" w:rsidRPr="000F1EC3" w14:paraId="3186F9EC" w14:textId="77777777" w:rsidTr="001B580E">
        <w:trPr>
          <w:gridAfter w:val="1"/>
          <w:wAfter w:w="8" w:type="dxa"/>
        </w:trPr>
        <w:tc>
          <w:tcPr>
            <w:tcW w:w="914" w:type="dxa"/>
            <w:vAlign w:val="center"/>
          </w:tcPr>
          <w:p w14:paraId="4D6AA9CF"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1001452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BC7235E"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Sở Xây dựng Khánh Hòa (văn bản số 4773/SXD-QLVT ngày 11/5/2026)</w:t>
            </w:r>
          </w:p>
        </w:tc>
        <w:tc>
          <w:tcPr>
            <w:tcW w:w="8872" w:type="dxa"/>
            <w:vAlign w:val="center"/>
          </w:tcPr>
          <w:p w14:paraId="41A48F1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1. Để đảm bảo thống nhất áp dụng thuật ngữ trong toàn văn, đề nghị cơ quan soạn thảo rà soát chọn và sử dụng thống nhất đối với các cặp, nhóm thuật ngữ sau:</w:t>
            </w:r>
          </w:p>
          <w:p w14:paraId="611212D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 “Tàu công vụ” và “tàu thuyền công vụ”. </w:t>
            </w:r>
          </w:p>
          <w:p w14:paraId="0D697F6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“Tàu thuyền” , “tàu” , “phương tiện thủy” , “phương tiện thủy nội địa”. </w:t>
            </w:r>
          </w:p>
          <w:p w14:paraId="234935D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“Chủ tàu” và “chủ phương tiện”. </w:t>
            </w:r>
          </w:p>
          <w:p w14:paraId="4AA40F8A"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2. Để tinh gọn, đề nghị cơ quan soạn thảo nghiên cứu, bỏ nội dung giải thích từ ngữ tại các chương, chuyển về Chương I để bảo đảm thống nhất, cụ thể: </w:t>
            </w:r>
          </w:p>
          <w:p w14:paraId="12F4FA1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Cảng biển: đang được quy định tại khoản 5 Điều 4 chương I và khoản 1 Điều 17 chương II.</w:t>
            </w:r>
          </w:p>
          <w:p w14:paraId="5B2A75A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Cảng thủy nội địa, bến thủy nội địa: đang được quy định tại khoản 25, 26 Điều 4 chương I và khoản 1, khoản 2 Điều 24 chương II. </w:t>
            </w:r>
          </w:p>
          <w:p w14:paraId="06F178B2"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Cảng cạn: đang được quy định tại khoản 27 Điều 4 chương I và khoản 1 Điều 31 chương II. </w:t>
            </w:r>
          </w:p>
          <w:p w14:paraId="78AFE80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Kết cấu hạ tầng hàng hải: đang được quy định tại khoản 41 Điều 4 chương I và khoản 1 Điều 16 chương II. </w:t>
            </w:r>
          </w:p>
          <w:p w14:paraId="0F654A8F"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Tuyến đường thủy nội địa: đang được quy định tại khoản 50 Điều 4 chương I; khoản 2 Điều 160 chương XIII.</w:t>
            </w:r>
          </w:p>
          <w:p w14:paraId="3BEA06B9"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3. Để thống nhất cách hiểu và thuận lợi khi áp dụng, đề nghị cơ quan soạn thảo nghiên cứu bổ sung giải thích các thuật ngữ liên quan tới đường thủy nội địa như: cầu cảng thủy nội địa; luồng đường thủy nội địa; cụm cảng khách (từ ngữ tại Quyết định 1829/QĐ-TTg ngày 31/10/2021 về Phê duyệt Quy hoạch kết cấu hạ tầng đường thủy nội địa thời kỳ 2021 - 2030, tầm nhìn đến năm 2050). </w:t>
            </w:r>
          </w:p>
          <w:p w14:paraId="1C10B89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4. Bộ Giao thông vận tải đã ban hành Quyết định số 1521/QĐ – BGTVT ngày 12/12/2024 về việc phê duyệt Đề án quản lý du thuyền, trong đó tại mục IV có nội dung: “Bổ sung khái niệm du thuyền trong Bộ luật Hàng hải Việt Nam, Luật Giao thông đường thủy nội địa”. Do đó, đề nghị cơ quan soạn thảo nghiên cứu bổ sung khái niệm “du thuyền”.</w:t>
            </w:r>
          </w:p>
          <w:p w14:paraId="4885E9A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5. Dự thảo đã bổ sung quy định về phạm vi quản lý nhà nước đối với các loại cảng đặc thù (cảng quân sự, cảng cá, bến thủy nội địa trong vùng nước cảng biển). Tuy nhiên chưa khắc phục được nội dung bất cập, hạn chế “việc Cảng vụ hàng hải triển khai kiểm tra cảng, bến thủy nội địa trong vùng nước cảng biển nhằm đảm bảo an toàn hàng hải, an ninh hàng hải, phòng chống cháy, nổ và phòng ngừa ô nhiễm môi trường theo quy định của Bộ luật dẫn đến sự chồng chéo khi 01 doanh nghiệp cảng, bến phải chịu sự kiểm tra, quản lý cùng lúc của 02 cơ quan là Cảng vụ hàng hải và Cảng vụ đường thủy nội địa” được nêu ra tại dự thảo Báo cáo tổng kết thi hành Bộ luật hàng Hải Việt Nam năm 2015, Luật Giao thông đường thủy nội địa và các sửa đổi, bổ sung. Do đó, để nâng cao hiệu quả quản lý, tránh gây lãng phí cũng như giảm chồng chéo về thẩm quyền quản lý nhà nước giữa Cảng vụ hàng hải và Cảng vụ đường thủy nội địa tại các khu vực cảng, bến thủy nội địa nằm trong vùng nước cảng biển, đề nghị cơ quan soạn thảo nghiên cứu bổ sung, cụ thể hóa các quy định, </w:t>
            </w:r>
            <w:r w:rsidRPr="000F1EC3">
              <w:rPr>
                <w:rFonts w:ascii="Times New Roman" w:hAnsi="Times New Roman"/>
                <w:sz w:val="24"/>
              </w:rPr>
              <w:lastRenderedPageBreak/>
              <w:t>nhất là cụ thể nội dung xác định luồng, tuyến, đường thủy nội địa trong vùng nước cảng biển.</w:t>
            </w:r>
          </w:p>
        </w:tc>
        <w:tc>
          <w:tcPr>
            <w:tcW w:w="2793" w:type="dxa"/>
            <w:vAlign w:val="center"/>
          </w:tcPr>
          <w:p w14:paraId="54613DA6" w14:textId="78845B92"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Nội dung này được tiếp thu, rà soát và chỉnh sửa.</w:t>
            </w:r>
          </w:p>
        </w:tc>
      </w:tr>
      <w:tr w:rsidR="005E54B6" w:rsidRPr="000F1EC3" w14:paraId="2C369311" w14:textId="77777777" w:rsidTr="001B580E">
        <w:trPr>
          <w:gridAfter w:val="1"/>
          <w:wAfter w:w="8" w:type="dxa"/>
        </w:trPr>
        <w:tc>
          <w:tcPr>
            <w:tcW w:w="914" w:type="dxa"/>
            <w:vAlign w:val="center"/>
          </w:tcPr>
          <w:p w14:paraId="222EACCD"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73A7F4AF"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D62D0F8"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Quảng Ngãi (văn bản số 68/ĐBQH-CTQH ngày 8/5/2026)</w:t>
            </w:r>
          </w:p>
        </w:tc>
        <w:tc>
          <w:tcPr>
            <w:tcW w:w="8872" w:type="dxa"/>
            <w:vAlign w:val="center"/>
          </w:tcPr>
          <w:p w14:paraId="22F7631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Về tổ chức thực hiện </w:t>
            </w:r>
          </w:p>
          <w:p w14:paraId="07A0DDD2"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Dự thảo Bộ Luật đã giải quyết tốt các vấn đề tồn tại của hai luật cũ như: sự chồng lấn khu vực cảng biển và đường thủy; việc thiếu cơ chế xã hội hóa nạo vét thông luồng hàng hải và hạn chế trong ứng dụng công nghệ hiện tại. Tuy nhiên, để Bộ Luật này đi vào cuộc sống, đề nghị cơ quan soạn thảo xây dựng, ban hành đồng bộ các Nghị định hướng dẫn về định mức kỹ thuật cho Cảng xanh, Cảng thông minh ngay khi Bộ Luật có hiệu lực</w:t>
            </w:r>
          </w:p>
        </w:tc>
        <w:tc>
          <w:tcPr>
            <w:tcW w:w="2793" w:type="dxa"/>
            <w:vAlign w:val="center"/>
          </w:tcPr>
          <w:p w14:paraId="416A75D0" w14:textId="50652B76"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Tiếp thu, dự kiến các Nghị định hướng dẫn thi hành Luật sẽ được soạn thảo, hoàn thiện trình Chính phủ cùng hồ sơ dự án Bộ luật.</w:t>
            </w:r>
          </w:p>
        </w:tc>
      </w:tr>
      <w:tr w:rsidR="005E54B6" w:rsidRPr="000F1EC3" w14:paraId="6EF711F9" w14:textId="77777777" w:rsidTr="001B580E">
        <w:trPr>
          <w:gridAfter w:val="1"/>
          <w:wAfter w:w="8" w:type="dxa"/>
        </w:trPr>
        <w:tc>
          <w:tcPr>
            <w:tcW w:w="914" w:type="dxa"/>
            <w:vAlign w:val="center"/>
          </w:tcPr>
          <w:p w14:paraId="7DE85C02"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561EB40F"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2EE7CB0"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 xml:space="preserve">ĐBQH Ninh Bình (văn bản số </w:t>
            </w:r>
            <w:r w:rsidRPr="000F1EC3">
              <w:rPr>
                <w:rFonts w:ascii="Times New Roman" w:hAnsi="Times New Roman"/>
                <w:b/>
                <w:sz w:val="24"/>
              </w:rPr>
              <w:t>58/ĐDBQH-VP ngày 11/5/2026</w:t>
            </w:r>
            <w:r w:rsidRPr="000F1EC3">
              <w:rPr>
                <w:rFonts w:ascii="Times New Roman" w:hAnsi="Times New Roman"/>
                <w:b/>
                <w:bCs/>
                <w:sz w:val="24"/>
              </w:rPr>
              <w:t>)</w:t>
            </w:r>
          </w:p>
        </w:tc>
        <w:tc>
          <w:tcPr>
            <w:tcW w:w="8872" w:type="dxa"/>
            <w:vAlign w:val="center"/>
          </w:tcPr>
          <w:p w14:paraId="4232529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
                <w:sz w:val="24"/>
              </w:rPr>
              <w:t>Về nguồn nhân lực thuyền viên và công tác đào tạo hàng hải</w:t>
            </w:r>
          </w:p>
          <w:p w14:paraId="1F973F0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Báo cáo tổng kết thi hành Bộ luật Hàng hải Việt Nam năm 2015 và Luật Giao thông đường thủy nội địa cũng đã chỉ ra những khó khăn, thách thức đối với nguồn nhân lực thuyền viên hiện nay. Theo đó, công tác tuyển dụng thuyền viên gặp nhiều trở ngại; nhiều thuyền viên có kinh nghiệm chuyển đổi nghề nghiệp hoặc chuyển sang làm việc trên bờ; số lượng học sinh, sinh viên theo học các ngành hàng hải có xu hướng giảm. Thực trạng này có thể dẫn đến nguy cơ thiếu hụt nguồn nhân lực thuyền viên trong thời gian tới, đặc biệt là đội ngũ có trình độ chuyên môn, tay nghề cao và kinh nghiệm thực tiễn.</w:t>
            </w:r>
          </w:p>
          <w:p w14:paraId="0858BC2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Thực trạng hiện nay chưa có các cơ chế, chính sách đủ mạnh để thu hút lao động trẻ tham gia lĩnh vực hàng hải; hỗ trợ đào tạo, phát triển nguồn nhân lực chất lượng cao; đồng thời tạo điều kiện giữ chân thuyền viên gắn bó lâu dài với nghề. Trong khi đó, đây là lĩnh vực có tính đặc thù cao, môi trường làm việc khắc nghiệt, thời gian làm việc xa gia đình kéo dài và áp lực nghề nghiệp lớn.</w:t>
            </w:r>
          </w:p>
          <w:p w14:paraId="4F3776F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Ban soạn thảo nghiên cứu bổ sung các chính sách hỗ trợ phù hợp nhằm thu hút, phát triển và ổn định nguồn nhân lực hàng hải trong dài hạn. Trong đó, cần xem xét quy định các chính sách ưu đãi đối với đào tạo nghề hàng hải; cơ chế hỗ trợ học phí, tín dụng đào tạo; khuyến khích xã hội hóa công tác đào tạo thuyền viên; đồng thời nghiên cứu xây dựng các chính sách đặc thù về bảo hiểm, phúc lợi và điều kiện làm việc đối với thuyền viên.</w:t>
            </w:r>
          </w:p>
        </w:tc>
        <w:tc>
          <w:tcPr>
            <w:tcW w:w="2793" w:type="dxa"/>
            <w:vAlign w:val="center"/>
          </w:tcPr>
          <w:p w14:paraId="1DDAD3AB" w14:textId="07E50C11"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Tiếp thu, nội dung này đã được cụ thể hóa tại Chương IV của dự thảo Bộ luật.</w:t>
            </w:r>
          </w:p>
        </w:tc>
      </w:tr>
      <w:tr w:rsidR="005E54B6" w:rsidRPr="000F1EC3" w14:paraId="183F8A68" w14:textId="77777777" w:rsidTr="001B580E">
        <w:trPr>
          <w:gridAfter w:val="1"/>
          <w:wAfter w:w="8" w:type="dxa"/>
        </w:trPr>
        <w:tc>
          <w:tcPr>
            <w:tcW w:w="914" w:type="dxa"/>
            <w:vAlign w:val="center"/>
          </w:tcPr>
          <w:p w14:paraId="177968E8"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27BA520B"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1EA279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 xml:space="preserve">ĐBQH Ninh Bình (văn bản số </w:t>
            </w:r>
            <w:r w:rsidRPr="000F1EC3">
              <w:rPr>
                <w:rFonts w:ascii="Times New Roman" w:hAnsi="Times New Roman"/>
                <w:b/>
                <w:sz w:val="24"/>
              </w:rPr>
              <w:t>58/ĐDBQH-VP ngày 11/5/2026</w:t>
            </w:r>
            <w:r w:rsidRPr="000F1EC3">
              <w:rPr>
                <w:rFonts w:ascii="Times New Roman" w:hAnsi="Times New Roman"/>
                <w:b/>
                <w:bCs/>
                <w:sz w:val="24"/>
              </w:rPr>
              <w:t>)</w:t>
            </w:r>
          </w:p>
        </w:tc>
        <w:tc>
          <w:tcPr>
            <w:tcW w:w="8872" w:type="dxa"/>
            <w:vAlign w:val="center"/>
          </w:tcPr>
          <w:p w14:paraId="7EFDC38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1. Đề nghị cơ quan soạn thảo tiếp tục rà soát về bố cục, kỹ thuật lập pháp và phạm vi điều chỉnh của dự thảo Bộ Luật để bảo đảm tính thống nhất của hệ thống pháp luật, tính khả thi trong tổ chức triển khai thực hiện.</w:t>
            </w:r>
          </w:p>
          <w:p w14:paraId="68427BD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2. Về bố cục của dự thảo Bộ luật</w:t>
            </w:r>
          </w:p>
          <w:p w14:paraId="5996B01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Việc hợp nhất lĩnh vực hàng hải và đường thủy nội địa trong cùng một Bộ luật là định hướng lớn, nhằm xây dựng khung pháp lý thống nhất đối với hoạt động vận tải đường thủy, </w:t>
            </w:r>
            <w:r w:rsidRPr="000F1EC3">
              <w:rPr>
                <w:rFonts w:ascii="Times New Roman" w:hAnsi="Times New Roman"/>
                <w:sz w:val="24"/>
              </w:rPr>
              <w:lastRenderedPageBreak/>
              <w:t>góp phần tinh gọn hệ thống pháp luật chuyên ngành. Tuy nhiên, qua nghiên cứu dự thảo cho thấy bố cục hiện nay được thiết kế theo hướng lồng ghép, đan xen các quy định của hai lĩnh vực trong cùng một chương, mục, mặc dù giữa hàng hải và đường thủy nội địa vẫn có những đặc thù riêng biệt về đối tượng điều chỉnh, phạm vi hoạt động và cơ chế quản lý.</w:t>
            </w:r>
          </w:p>
          <w:p w14:paraId="04EF38C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Theo dự thảo, Chương I quy định những nội dung chung; Chương II quy định về kết cấu hạ tầng hàng hải, đường thủy nội địa và cảng cạn; các chương tiếp theo tiếp tục quy định về tàu thuyền, thuyền viên, vận tải, an toàn... và quản lý nhà nước. Cách thiết kế này có thể dẫn đến tình trạng các quy định của hai lĩnh vực bị lồng ghép trong cùng một chương hoặc điều luật, gây khó khăn trong việc tra cứu, áp dụng và tổ chức thực hiện.</w:t>
            </w:r>
          </w:p>
          <w:p w14:paraId="686207E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Trong khi đó, lĩnh vực hàng hải chủ yếu điều chỉnh các vấn đề liên quan đến tàu biển, cảng biển, hàng hải, vận tải biển quốc tế và chịu sự tác động lớn từ các điều ước, công ước quốc tế, đặc biệt là các công ước của Tổ chức Hàng hải quốc tế (IMO); trong khi lĩnh vực đường thủy nội địa chủ yếu điều chỉnh phương tiện thủy nội địa, cảng, bến thủy nội địa, người lái phương tiện và hoạt động vận tải nội địa. Đây là hai lĩnh vực có sự liên quan nhưng không hoàn toàn tương đồng về tính chất hoạt động, phạm vi điều chỉnh và yêu cầu quản lý nhà nước.</w:t>
            </w:r>
          </w:p>
          <w:p w14:paraId="13D5178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Vì vậy, để bảo đảm tính khoa học, logic, thuận lợi trong áp dụng pháp luật, đề nghị cơ quan soạn thảo nghiên cứu sắp xếp lại bố cục dự thảo theo hướng tách bạch rõ hơn giữa hai lĩnh vực. Theo đó, có thể thiết kế Bộ luật gồm: (i) Phần quy định chung; (ii) Phần quy định riêng về hàng hải; (iii) Phần quy định riêng về đường thủy nội địa; và (iv) Phần quy định chung áp dụng cho cả hai lĩnh vực như chuyển đổi số, bảo vệ môi trường, thanh tra, kiểm tra và điều khoản thi hành. Cách bố trí này sẽ bảo đảm rõ ràng, dễ theo dõi, hạn chế chồng chéo</w:t>
            </w:r>
          </w:p>
        </w:tc>
        <w:tc>
          <w:tcPr>
            <w:tcW w:w="2793" w:type="dxa"/>
            <w:vAlign w:val="center"/>
          </w:tcPr>
          <w:p w14:paraId="70F5941A" w14:textId="43B62435"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Đề nghị giữ nguyên như dự thảo do Bố cục dự thảo Bộ luật đã được nghiên cứu, rà soát để quy định chung những hoạt động trong hai lĩnh vực có tính chất tương đồng nhau và tách riêng </w:t>
            </w:r>
            <w:r w:rsidRPr="000F1EC3">
              <w:rPr>
                <w:rFonts w:ascii="Times New Roman" w:hAnsi="Times New Roman"/>
                <w:sz w:val="24"/>
              </w:rPr>
              <w:lastRenderedPageBreak/>
              <w:t>các quy định mang tính chất đặc thù của từng lĩnh vực, trường hợp điều chỉnh như ý kiến đề xuất dễ dẫn đến tình trạng chỉ thực hiện hợp nhất cơ học.</w:t>
            </w:r>
          </w:p>
        </w:tc>
      </w:tr>
      <w:tr w:rsidR="005E54B6" w:rsidRPr="000F1EC3" w14:paraId="17242567" w14:textId="77777777" w:rsidTr="001B580E">
        <w:trPr>
          <w:gridAfter w:val="1"/>
          <w:wAfter w:w="8" w:type="dxa"/>
        </w:trPr>
        <w:tc>
          <w:tcPr>
            <w:tcW w:w="914" w:type="dxa"/>
            <w:vAlign w:val="center"/>
          </w:tcPr>
          <w:p w14:paraId="58AD6D0E"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103D918C"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5056B12"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sz w:val="24"/>
              </w:rPr>
              <w:t>Sở Xây dựng Điện Biên (văn bản số 2247/SXD-QLVT&amp;ATGT ngày 11/5/2026)</w:t>
            </w:r>
          </w:p>
        </w:tc>
        <w:tc>
          <w:tcPr>
            <w:tcW w:w="8872" w:type="dxa"/>
            <w:vAlign w:val="center"/>
          </w:tcPr>
          <w:p w14:paraId="5BE968C1"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1. Đề nghị cơ quan soạn thảo nghiên cứu quy định chuyển tiếp đối với các nội dung mang tính thủ tục đang thực hiện trước ngày Luật này có hiệu lực để thuận lợi cho việc triển khai thực hiện.</w:t>
            </w:r>
          </w:p>
          <w:p w14:paraId="24649E7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2. Đề nghị cơ quan soạn thảo nghiên cứu, rà soát các nội dung giao Chính phủ quy định chi tiết vì dự thảo Bộ luật hiện nay có nhiều nội dung chỉ quy định việc thực hiện theo quy định của Chính phủ. Đối với các nội dung liên quan trực tiếp đến quyền, nghĩa vụ của tổ chức, cá nhân; thẩm quyền quản lý nhà nước đề nghị quy định cụ thể trong luật và giao Chính phủ quy định đối với các nội dung mang tính kỹ thuật, cần linh hoạt trong tổ chức thực hiện.</w:t>
            </w:r>
          </w:p>
        </w:tc>
        <w:tc>
          <w:tcPr>
            <w:tcW w:w="2793" w:type="dxa"/>
            <w:vAlign w:val="center"/>
          </w:tcPr>
          <w:p w14:paraId="05CFB4CC" w14:textId="77777777"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Nội dung số 1 tiếp thu, bổ sung 01 Điều quy định chuyển tiếp tại dự thảo.</w:t>
            </w:r>
          </w:p>
          <w:p w14:paraId="431EFEDC" w14:textId="00C92032" w:rsidR="0081493C"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Nội dung số 2 đề nghị giữ nguyên như dự thảo để vừa bảo đảm tính nguyên tắc, quy định khung trong dự thảo Bộ luật, vừa đảm bảo khoogn bỏ sót quy định, tạo khoảng trống pháp lý khi hoàn thiện hệ thống </w:t>
            </w:r>
            <w:r w:rsidRPr="000F1EC3">
              <w:rPr>
                <w:rFonts w:ascii="Times New Roman" w:hAnsi="Times New Roman"/>
                <w:sz w:val="24"/>
              </w:rPr>
              <w:lastRenderedPageBreak/>
              <w:t>văn bản hướng dẫn thi hành.</w:t>
            </w:r>
          </w:p>
        </w:tc>
      </w:tr>
      <w:tr w:rsidR="005E54B6" w:rsidRPr="000F1EC3" w14:paraId="5CE03D7B" w14:textId="77777777" w:rsidTr="001B580E">
        <w:trPr>
          <w:gridAfter w:val="1"/>
          <w:wAfter w:w="8" w:type="dxa"/>
        </w:trPr>
        <w:tc>
          <w:tcPr>
            <w:tcW w:w="914" w:type="dxa"/>
            <w:vAlign w:val="center"/>
          </w:tcPr>
          <w:p w14:paraId="60BB8DF9"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16427415"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E6C0F51" w14:textId="77777777" w:rsidR="005E54B6" w:rsidRPr="000F1EC3" w:rsidRDefault="005E54B6" w:rsidP="005E54B6">
            <w:pPr>
              <w:shd w:val="clear" w:color="auto" w:fill="FFFFFF"/>
              <w:spacing w:before="20" w:after="20"/>
              <w:jc w:val="center"/>
              <w:rPr>
                <w:rFonts w:ascii="Times New Roman" w:hAnsi="Times New Roman"/>
                <w:b/>
                <w:sz w:val="24"/>
              </w:rPr>
            </w:pPr>
            <w:r w:rsidRPr="000F1EC3">
              <w:rPr>
                <w:rFonts w:ascii="Times New Roman" w:hAnsi="Times New Roman"/>
                <w:b/>
                <w:bCs/>
                <w:sz w:val="24"/>
              </w:rPr>
              <w:t>ĐBQH Tây Ninh (văn bản số 106/DBQH-CTQH ngày 13/5/2026)</w:t>
            </w:r>
          </w:p>
        </w:tc>
        <w:tc>
          <w:tcPr>
            <w:tcW w:w="8872" w:type="dxa"/>
            <w:vAlign w:val="center"/>
          </w:tcPr>
          <w:p w14:paraId="6294470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1. Về phân cấp, phân quyền và nguồn lực thực hiện về quản lý đường thủy cho địa phương đây là chủ trương đúng đắn, kịp thời sát với thực tế hiện nay. Tuy nhiên, đề nghị Ban soạn thảo nên cân nhắc xem xét việc phân cấp, phân quyền phải đi đôi với giao nguồn lực thực hiện. Vì nếu giao địa phương quản lý nhưng không có cơ chế phân bổ ngân sách, kinh phí duy tu luồng tuyến thì quy định an toàn giao thông sẽ khó khả thi.</w:t>
            </w:r>
          </w:p>
          <w:p w14:paraId="6D76B98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2. Đề nghị Ban soạn thảo tiếp tục rà soát các văn bản quy phạm pháp luật khác có liên quan như Luật Đất đai 2024 và Luật Đầu tư công 2024 nhằm đảm bảo tính thống nhất đồng bộ thông suốt, tránh chồng chéo, mâu thuẫn với các quy định pháp luật hiện hành.</w:t>
            </w:r>
          </w:p>
        </w:tc>
        <w:tc>
          <w:tcPr>
            <w:tcW w:w="2793" w:type="dxa"/>
            <w:vAlign w:val="center"/>
          </w:tcPr>
          <w:p w14:paraId="3654072B" w14:textId="77777777"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1. Tiếp thu, nội dung phân cấp, phân quyền sẽ được thực hiện trên cơ sở đánh giá, đề xuất nguồn lực thực hiện phù hợp.</w:t>
            </w:r>
          </w:p>
          <w:p w14:paraId="7EB76665" w14:textId="46315EF7" w:rsidR="0081493C"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2. Tiếp thu, quá trình soạn thảo hồ sơ dự án Bộ luật, cơ quan chủ trì soạn thảo đã rà soát, bảo đảm tính phù hợp, thống nhất trong hệ thống quy định.</w:t>
            </w:r>
          </w:p>
        </w:tc>
      </w:tr>
      <w:tr w:rsidR="005E54B6" w:rsidRPr="000F1EC3" w14:paraId="566F3B77" w14:textId="77777777" w:rsidTr="001B580E">
        <w:trPr>
          <w:gridAfter w:val="1"/>
          <w:wAfter w:w="8" w:type="dxa"/>
        </w:trPr>
        <w:tc>
          <w:tcPr>
            <w:tcW w:w="914" w:type="dxa"/>
            <w:vAlign w:val="center"/>
          </w:tcPr>
          <w:p w14:paraId="21A37D37"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18075F2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DDB2407" w14:textId="77777777" w:rsidR="005E54B6" w:rsidRPr="000F1EC3" w:rsidRDefault="005E54B6" w:rsidP="005E54B6">
            <w:pPr>
              <w:shd w:val="clear" w:color="auto" w:fill="FFFFFF"/>
              <w:spacing w:before="20" w:after="20"/>
              <w:jc w:val="center"/>
              <w:rPr>
                <w:rFonts w:ascii="Times New Roman" w:hAnsi="Times New Roman"/>
                <w:b/>
                <w:sz w:val="24"/>
              </w:rPr>
            </w:pPr>
            <w:r w:rsidRPr="000F1EC3">
              <w:rPr>
                <w:rFonts w:ascii="Times New Roman" w:hAnsi="Times New Roman"/>
                <w:b/>
                <w:sz w:val="24"/>
              </w:rPr>
              <w:t>Sở Xây dựng Vĩnh Long (văn bản số 3079/SXD-VTAT ngày 11/5/2026)</w:t>
            </w:r>
          </w:p>
        </w:tc>
        <w:tc>
          <w:tcPr>
            <w:tcW w:w="8872" w:type="dxa"/>
            <w:vAlign w:val="center"/>
          </w:tcPr>
          <w:p w14:paraId="305582A6" w14:textId="77777777" w:rsidR="0081493C"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Đối với thể thức của dự thảo Bộ luật Hàng hải và Đường thủy nội địa Việt Nam và các văn bản khác kèm theo trong hồ sơ dự thảo. </w:t>
            </w:r>
          </w:p>
          <w:p w14:paraId="2399DFF4" w14:textId="77777777" w:rsidR="0081493C"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Đề xuất không sử dụng dấu chấm (.) sau số thứ tự của các “Chương” và “Mục”, lý do: nhằm đảm bảo đúng theo mẫu số 01, Phụ lục II được ban hành kèm theo Nghị định số 187/2025/NĐ-CP ngày 01/7/2025 của Chính phủ. </w:t>
            </w:r>
          </w:p>
          <w:p w14:paraId="3AA1BA26" w14:textId="77777777" w:rsidR="0081493C"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Đề xuất điều chỉnh lại tại điểm d khoản 6 Điều 167 của dự thảo, lý do: có sự trùng lặp điểm “d”. </w:t>
            </w:r>
          </w:p>
          <w:p w14:paraId="0B0202DA" w14:textId="613147F0"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Dự thảo xây dựng Bộ luật có tên gọi là “Bộ luật Hàng hải và Đường thủy nội địa Việt Nam”, vì vậy đề xuất bổ sung cụm từ “nội địa” vào tên gọi của Bộ luật trong các văn bản khác kèm theo của hồ sơ dự thảo để đảm bảo tính thống nhất tên gọi của Bộ luật.</w:t>
            </w:r>
          </w:p>
        </w:tc>
        <w:tc>
          <w:tcPr>
            <w:tcW w:w="2793" w:type="dxa"/>
            <w:vAlign w:val="center"/>
          </w:tcPr>
          <w:p w14:paraId="673424A8" w14:textId="29695255"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29E51D50" w14:textId="77777777" w:rsidTr="001B580E">
        <w:trPr>
          <w:gridAfter w:val="1"/>
          <w:wAfter w:w="8" w:type="dxa"/>
        </w:trPr>
        <w:tc>
          <w:tcPr>
            <w:tcW w:w="914" w:type="dxa"/>
            <w:vAlign w:val="center"/>
          </w:tcPr>
          <w:p w14:paraId="1D22237F"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41B8893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F75DBA6"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Sơn La (văn bản số 12/DBQH-VP ngày 12/5/2026)</w:t>
            </w:r>
          </w:p>
        </w:tc>
        <w:tc>
          <w:tcPr>
            <w:tcW w:w="8872" w:type="dxa"/>
            <w:vAlign w:val="center"/>
          </w:tcPr>
          <w:p w14:paraId="47785E2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nghị Bộ Xây dựng tiếp tục rà soát các quy định của dự thảo Bộ luật bảo đảm thống nhất trong hệ thống pháp luật, các luật chuyên ngành và các điều ước quốc tế mà Việt Nam là thành viên</w:t>
            </w:r>
          </w:p>
        </w:tc>
        <w:tc>
          <w:tcPr>
            <w:tcW w:w="2793" w:type="dxa"/>
            <w:vAlign w:val="center"/>
          </w:tcPr>
          <w:p w14:paraId="6FBFBDE6" w14:textId="6737A376"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Tiếp thu, quá trình soạn thảo hồ sơ dự án Bộ luật, cơ quan chủ trì soạn thảo đã rà soát, bảo đảm tính phù hợp, thống nhất trong hệ thống quy định.</w:t>
            </w:r>
          </w:p>
        </w:tc>
      </w:tr>
      <w:tr w:rsidR="005E54B6" w:rsidRPr="000F1EC3" w14:paraId="354696FF" w14:textId="77777777" w:rsidTr="001B580E">
        <w:trPr>
          <w:gridAfter w:val="1"/>
          <w:wAfter w:w="8" w:type="dxa"/>
        </w:trPr>
        <w:tc>
          <w:tcPr>
            <w:tcW w:w="914" w:type="dxa"/>
            <w:vAlign w:val="center"/>
          </w:tcPr>
          <w:p w14:paraId="55A24A2C"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4E045818"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7B46FF5"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Lạng Sơn (văn bản số 87/ĐBQH-</w:t>
            </w:r>
            <w:r w:rsidRPr="000F1EC3">
              <w:rPr>
                <w:rFonts w:ascii="Times New Roman" w:hAnsi="Times New Roman"/>
                <w:b/>
                <w:bCs/>
                <w:sz w:val="24"/>
              </w:rPr>
              <w:lastRenderedPageBreak/>
              <w:t>VP ngày 11/5/2026)</w:t>
            </w:r>
          </w:p>
        </w:tc>
        <w:tc>
          <w:tcPr>
            <w:tcW w:w="8872" w:type="dxa"/>
            <w:vAlign w:val="center"/>
          </w:tcPr>
          <w:p w14:paraId="0037B85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Đối với Bản đánh giá thủ tục hành chính, việc phân quyền, phân cấp, việc ứng dụng, thúc đẩy phát triển khoa học, công nghệ, đổi mới sáng tạo và chuyển đổi số, việc bảo đảm bình đẳng giới, chính sách dân tộc trong dự án Bộ luật đã nhấn mạnh mục đích đánh giá khả năng ứng dụng khoa học công nghệ, đổi mới sáng tạo và chuyển đổi số trong tổ chức thực </w:t>
            </w:r>
            <w:r w:rsidRPr="000F1EC3">
              <w:rPr>
                <w:rFonts w:ascii="Times New Roman" w:hAnsi="Times New Roman"/>
                <w:sz w:val="24"/>
              </w:rPr>
              <w:lastRenderedPageBreak/>
              <w:t>hiện các hoạt động hàng hải và giao thông đường thủy nội địa. Tại phần II. Kết quả đánh giá đề nghị cơ quan soạn thảo xem xét bổ sung nội dung đánh giá cụ thể về việc ứng dụng khoa học công nghệ, đổi mới sáng tạo, chuyển đổi số để làm rõ các các nội dung, thuật ngữ “cảng thông minh”,  “chuyển đổi số”, “ứng dụng công nghệ” đã được đề cập tại phần I của Bản đánh giá</w:t>
            </w:r>
          </w:p>
        </w:tc>
        <w:tc>
          <w:tcPr>
            <w:tcW w:w="2793" w:type="dxa"/>
            <w:vAlign w:val="center"/>
          </w:tcPr>
          <w:p w14:paraId="74A69247" w14:textId="7876BDE7"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Tiếp thu, chỉnh sửa</w:t>
            </w:r>
          </w:p>
        </w:tc>
      </w:tr>
      <w:tr w:rsidR="005E54B6" w:rsidRPr="000F1EC3" w14:paraId="1FFC952D" w14:textId="77777777" w:rsidTr="001B580E">
        <w:trPr>
          <w:gridAfter w:val="1"/>
          <w:wAfter w:w="8" w:type="dxa"/>
        </w:trPr>
        <w:tc>
          <w:tcPr>
            <w:tcW w:w="914" w:type="dxa"/>
            <w:vAlign w:val="center"/>
          </w:tcPr>
          <w:p w14:paraId="701B7765"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68C057D3"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5F6167D"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Quảng Trị (văn bản số 74/DBQH-CTQH ngày 11/5/2026)</w:t>
            </w:r>
          </w:p>
        </w:tc>
        <w:tc>
          <w:tcPr>
            <w:tcW w:w="8872" w:type="dxa"/>
            <w:vAlign w:val="center"/>
          </w:tcPr>
          <w:p w14:paraId="3CC9954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Về tên gọi: Tại dự thảo của Bộ luật có tên gọi là: Bộ luật Hàng hải và Đường thủy nội địa Việt Nam; tuy nhiên theo dự thảo Tờ trình và Công văn số 6282/BXD-PC ngày 29/4/2026 của Bộ Xây dựng thì lại ghi: Bộ luật Hàng hải và Đường thủy Việt Nam. Đoàn ĐBQH tỉnh Quảng Trị thống nhất với tên gọi: Bộ luật Hàng hải và Đường thủy nội địa Việt Nam với lý do sau: thuật ngữ “Đường thủy nội địa” là khái niệm pháp lý cốt lõi, phản ánh đúng đối tượng từ Luật Giao thông đường thủy nội địa 2004 mà Bộ luật này thay thế. Bên cạnh đó, tên gọi này bao quát trọn vẹn hai lĩnh vực đặc thù là hàng hải và đường thủy nội địa, giúp giải quyết tình trạng chồng lấn trong quản lý hạ tầng và tàu thuyền. Mặt khác, dự thảo đã định nghĩa chi tiết về “Đường thủy nội địa” (Điều 4), việc sử dụng tên gọi đầy đủ đảm bảo sự thống nhất, đồng bộ giữa hình thức và phạm vi điều chỉnh.</w:t>
            </w:r>
          </w:p>
        </w:tc>
        <w:tc>
          <w:tcPr>
            <w:tcW w:w="2793" w:type="dxa"/>
            <w:vAlign w:val="center"/>
          </w:tcPr>
          <w:p w14:paraId="1C706C6F" w14:textId="7E605115"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401A9C37" w14:textId="77777777" w:rsidTr="001B580E">
        <w:trPr>
          <w:gridAfter w:val="1"/>
          <w:wAfter w:w="8" w:type="dxa"/>
        </w:trPr>
        <w:tc>
          <w:tcPr>
            <w:tcW w:w="914" w:type="dxa"/>
            <w:vAlign w:val="center"/>
          </w:tcPr>
          <w:p w14:paraId="37F39153"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161AFCE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46555BB"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Tuyên Quang (văn bản số 50/DBQH-VP ngày 11/5/2026)</w:t>
            </w:r>
          </w:p>
        </w:tc>
        <w:tc>
          <w:tcPr>
            <w:tcW w:w="8872" w:type="dxa"/>
            <w:vAlign w:val="center"/>
          </w:tcPr>
          <w:p w14:paraId="5E96ADAA"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nghị Bộ Xây dựng tiếp tục rà soát các quy định của dự thảo luật nhằm thống nhất trong hệ thống pháp luật và các luật chuyên ngành.</w:t>
            </w:r>
          </w:p>
        </w:tc>
        <w:tc>
          <w:tcPr>
            <w:tcW w:w="2793" w:type="dxa"/>
            <w:vAlign w:val="center"/>
          </w:tcPr>
          <w:p w14:paraId="55913E94" w14:textId="540B26ED" w:rsidR="005E54B6" w:rsidRPr="000F1EC3" w:rsidRDefault="0081493C" w:rsidP="005E54B6">
            <w:pPr>
              <w:shd w:val="clear" w:color="auto" w:fill="FFFFFF"/>
              <w:spacing w:before="20" w:after="20"/>
              <w:jc w:val="both"/>
              <w:rPr>
                <w:rFonts w:ascii="Times New Roman" w:hAnsi="Times New Roman"/>
                <w:sz w:val="24"/>
              </w:rPr>
            </w:pPr>
            <w:r w:rsidRPr="000F1EC3">
              <w:rPr>
                <w:rFonts w:ascii="Times New Roman" w:hAnsi="Times New Roman"/>
                <w:sz w:val="24"/>
              </w:rPr>
              <w:t>Tiếp thu, quá trình soạn thảo hồ sơ dự án Bộ luật, cơ quan chủ trì soạn thảo đã rà soát, bảo đảm tính phù hợp, thống nhất trong hệ thống quy định.</w:t>
            </w:r>
          </w:p>
        </w:tc>
      </w:tr>
      <w:tr w:rsidR="005E54B6" w:rsidRPr="000F1EC3" w14:paraId="3B825CB9" w14:textId="77777777" w:rsidTr="001B580E">
        <w:trPr>
          <w:gridAfter w:val="1"/>
          <w:wAfter w:w="8" w:type="dxa"/>
        </w:trPr>
        <w:tc>
          <w:tcPr>
            <w:tcW w:w="914" w:type="dxa"/>
            <w:vAlign w:val="center"/>
          </w:tcPr>
          <w:p w14:paraId="57E7CBC3"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7280D34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3352F2B"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Tổng Công ty Hàng hải (văn bản số 711/HHVN/PC&amp;QTRR ngày 8/5/2026)</w:t>
            </w:r>
          </w:p>
        </w:tc>
        <w:tc>
          <w:tcPr>
            <w:tcW w:w="8872" w:type="dxa"/>
            <w:vAlign w:val="center"/>
          </w:tcPr>
          <w:p w14:paraId="3A5F544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Hàng hải là lĩnh vực có tính chất quốc tế cao, với nhiều chế định pháp lý tồn tại lâu đời, được cộng đồng quốc tế thừa nhận, áp dụng rộng rãi và duy trì sự ổn định qua nhiều thập kỷ. Do đó, Bộ luật Hàng hải 2015 cũng như các phiên bản trước đây đều được xây dựng trên cơ sở tiếp thu, nội luật hóa và bảo đảm tính tương thích cao với các công ước quốc tế, quy định và thông lệ hàng hải quốc tế. Nhiều chế định cốt lõi đã được quy định chi tiết ngay trong Bộ luật nhằm bảo đảm tính ổn định và khả năng dự đoán của pháp luật. Tuy nhiên, Dự thảo Bộ luật lần này có xu hướng rút gọn đáng kể và chuyển giao nhiều chế định trách nhiệm dân sự - thương mại hàng hải cốt lõi xuống văn bản dưới luật do Chính phủ quy định chi tiết. Các nội dung tiêu biểu gồm: quyền, nghĩa vụ và trách nhiệm của các bên trong hợp đồng vận chuyển hàng hóa bằng đường biển (Điều 106); hợp đồng thuê tàu (Điều 112 đến Điều 115); và bảo hiểm hàng hải (Điều 125 đến Điều 133). Đây là vấn đề cần xem xét cẩn trọng, bởi Bộ luật Hàng hải 2015 hiện hành đã quy định khá chi tiết các nội dung </w:t>
            </w:r>
            <w:r w:rsidRPr="000F1EC3">
              <w:rPr>
                <w:rFonts w:ascii="Times New Roman" w:hAnsi="Times New Roman"/>
                <w:sz w:val="24"/>
              </w:rPr>
              <w:lastRenderedPageBreak/>
              <w:t>quan trọng như nghĩa vụ mẫn cán của người vận chuyển, các trường hợp miễn trách nhiệm, giới hạn trách nhiệm, thời hiệu khởi kiện, trách nhiệm bảo hiểm, quyền thế quyền, quyền từ bỏ đối tượng bảo hiểm và thời hiệu bảo hiểm.</w:t>
            </w:r>
          </w:p>
          <w:p w14:paraId="7630B82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Để đảm bảo tính ổn định, tính dự báo và mức độ tương thích với thông lệ hàng hải quốc tế – những yếu tố then chốt của ngành kinh tế biển, VIMC đề xuất Bộ Xây dựng xem xét, chỉnh lý Dự thảo theo các hướng ưu tiên sau: (i) Nên hạn chế việc các văn bản dưới luật quy định chi tiết các chế định cốt lõi về quyền, nghĩa vụ và trách nhiệm dân sự - thương mại hàng hải của người vận chuyển, chủ tàu, người thuê tàu và người được bảo hiểm. Các nội dung quan trọng như nghĩa vụ mẫn cán, các trường hợp miễn trách nhiệm, giới hạn trách nhiệm, quyền lưu giữ hàng hóa, thời hiệu khởi kiện, trách nhiệm trong hợp đồng thuê tàu và chế độ bảo hiểm hàng hải cần được quy định cụ thể, trực tiếp trong Bộ luật; (ii) Hoàn thiện quy định về vận đơn và chứng từ vận chuyển điện tử (e-B/L) bằng cách bổ sung cơ chế xác định người có quyền kiểm soát hợp pháp và quy trình chuyển giao quyền kiểm soát đối với vận đơn điện tử, thay vì chỉ ghi nhận hình thức điện tử; (iii) Khôi phục và hoàn thiện các cơ chế bảo vệ chủ tàu, người vận chuyển trong vận chuyển hàng hóa bằng đường biển, đặc biệt đối với hàng rời, hàng lỏng, hàng nguy hiểm; quyền lưu giữ (lien), thời hiệu một năm đối với khiếu kiện liên quan đến hàng hóa và trách nhiệm trong mô hình vận chuyển theo chuỗi; (iv) Hoàn thiện chế định thuê tàu định hạn (time charter) và thuê tàu trần (bareboat charter) theo thông lệ quốc tế, bảo đảm sự cân bằng hợp lý giữa quyền khai thác thương mại của người thuê tàu với quyền bảo vệ tài sản, an toàn khai thác, bảo hiểm và trách nhiệm môi trường của chủ tàu;</w:t>
            </w:r>
          </w:p>
          <w:p w14:paraId="46149464"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(v) Hoàn thiện chế định bảo hiểm hàng hải nhằm nâng cao hiệu quả bảo vệ người được bảo hiểm, đặc biệt bổ sung quy định về rủi ro mạng (cyber risk), nguyên tắc nhân quả khi rủi ro gia tăng, trách nhiệm bồi hoàn chi phí ngăn ngừa và hạn chế tổn thất, cũng như thời điểm tính thời hiệu khởi kiện bảo hiểm.</w:t>
            </w:r>
          </w:p>
        </w:tc>
        <w:tc>
          <w:tcPr>
            <w:tcW w:w="2793" w:type="dxa"/>
            <w:vAlign w:val="center"/>
          </w:tcPr>
          <w:p w14:paraId="6BC6B7A7" w14:textId="77777777" w:rsidR="0081493C" w:rsidRPr="000F1EC3" w:rsidRDefault="0081493C" w:rsidP="0081493C">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Tiếp thu, dự thảo đã được rà soát, điều chỉnh đảm bảo tính khoa học, rõ ràng của quy định. Đồng thời, đảm bảo nguyên tắc luật chỉ quy định những vấn đề khung, vấn đề nguyên tắc, các nội dung liên quan đến tổ chức thực hiện chi tiết được giao cho Chính phủ thống nhất thực hiện.</w:t>
            </w:r>
          </w:p>
          <w:p w14:paraId="1E8DA868" w14:textId="77777777" w:rsidR="005E54B6" w:rsidRPr="000F1EC3" w:rsidRDefault="005E54B6" w:rsidP="005E54B6">
            <w:pPr>
              <w:shd w:val="clear" w:color="auto" w:fill="FFFFFF"/>
              <w:spacing w:before="20" w:after="20"/>
              <w:jc w:val="both"/>
              <w:rPr>
                <w:rFonts w:ascii="Times New Roman" w:hAnsi="Times New Roman"/>
                <w:sz w:val="24"/>
              </w:rPr>
            </w:pPr>
          </w:p>
        </w:tc>
      </w:tr>
      <w:tr w:rsidR="005E54B6" w:rsidRPr="000F1EC3" w14:paraId="3C436F53" w14:textId="77777777" w:rsidTr="001B580E">
        <w:trPr>
          <w:gridAfter w:val="1"/>
          <w:wAfter w:w="8" w:type="dxa"/>
        </w:trPr>
        <w:tc>
          <w:tcPr>
            <w:tcW w:w="914" w:type="dxa"/>
            <w:vAlign w:val="center"/>
          </w:tcPr>
          <w:p w14:paraId="132BEEDD"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17775CF8"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93650E9"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Hà Tĩnh (văn bản số 2546/SXD-QLVT ngày 11/5/2026)</w:t>
            </w:r>
          </w:p>
        </w:tc>
        <w:tc>
          <w:tcPr>
            <w:tcW w:w="8872" w:type="dxa"/>
            <w:vAlign w:val="center"/>
          </w:tcPr>
          <w:p w14:paraId="13CAEB0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Cần thống nhất cách ghi tên Bộ luật: hiện có chỗ ghi “Bộ luật Hàng hải và Đường thủy nội địa Việt Nam”, có chỗ ghi “Bộ luật hàng hải và Đường thủy Việt Nam” (tại khoản 2 Điều 3)</w:t>
            </w:r>
          </w:p>
        </w:tc>
        <w:tc>
          <w:tcPr>
            <w:tcW w:w="2793" w:type="dxa"/>
            <w:vAlign w:val="center"/>
          </w:tcPr>
          <w:p w14:paraId="6AA7A3CA" w14:textId="23177853"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4AAA33FD" w14:textId="77777777" w:rsidTr="001B580E">
        <w:trPr>
          <w:gridAfter w:val="1"/>
          <w:wAfter w:w="8" w:type="dxa"/>
        </w:trPr>
        <w:tc>
          <w:tcPr>
            <w:tcW w:w="914" w:type="dxa"/>
            <w:vAlign w:val="center"/>
          </w:tcPr>
          <w:p w14:paraId="02128F0F"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1D06E601"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CB266A5"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 xml:space="preserve">Trường ĐHGTVT TP HCM </w:t>
            </w:r>
            <w:r w:rsidRPr="000F1EC3">
              <w:rPr>
                <w:rFonts w:ascii="Times New Roman" w:hAnsi="Times New Roman"/>
                <w:b/>
                <w:bCs/>
                <w:sz w:val="24"/>
              </w:rPr>
              <w:lastRenderedPageBreak/>
              <w:t>(văn bản số 260511-02/CV-UTH-MLP ngày 11/5/2026)</w:t>
            </w:r>
          </w:p>
        </w:tc>
        <w:tc>
          <w:tcPr>
            <w:tcW w:w="8872" w:type="dxa"/>
            <w:vAlign w:val="center"/>
          </w:tcPr>
          <w:p w14:paraId="53188DD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Dự thảo đã có định hướng phát triển xanh và bảo vệ môi trường trong hoạt động hàng hải, tuy nhiên chưa quy định rõ trách nhiệm thực hiện các biện pháp giảm phát thải khí nhà kính trong hoạt động khai thác cảng và vận tải thủy. Việc bố sung quy định mang tính nguyên </w:t>
            </w:r>
            <w:r w:rsidRPr="000F1EC3">
              <w:rPr>
                <w:rFonts w:ascii="Times New Roman" w:hAnsi="Times New Roman"/>
                <w:sz w:val="24"/>
              </w:rPr>
              <w:lastRenderedPageBreak/>
              <w:t>tắc là nhằm tạo cơ sở pháp lý cho việc triển khai lộ trình giảm phát thải trong lĩnh vực hàng hải; bảo đảm phù hợp với các tiêu chuẩn quốc tế về vận tải biển xanh và cam kết phát thải ròng bằng “0” của Việt Nam; tạo cơ sở cho Chính phủ quy định chi tiết bằng nghị định và quy chuẩn kỹ thuật chuyên ngành.” Vì vậy, đề nghị bổ sung 01 khoản trong điều quy định về bảo vệ môi trường hàng hải và đường thủy nội địa với nội dung như sau: “Tổ chức, cá nhân hoạt động trong lĩnh vực hàng hải, khai thác cảng và vận tải đường thủy có trách nhiệm thực hiện các biện pháp giảm phát thải khí nhà kính, sử dụng nhiên liệu sạch và ứng dụng công nghệ thân thiện môi trường theo quy định của pháp luật và điều ước quốc tế mà nước Cộng hòa xã hội chủ nghĩa Việt Nam là thành viên”.</w:t>
            </w:r>
          </w:p>
        </w:tc>
        <w:tc>
          <w:tcPr>
            <w:tcW w:w="2793" w:type="dxa"/>
            <w:vAlign w:val="center"/>
          </w:tcPr>
          <w:p w14:paraId="7006A9BA" w14:textId="26728881"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 xml:space="preserve">Tiếp thu, nội dung quy định tại Điều 8 đã được rà </w:t>
            </w:r>
            <w:r w:rsidRPr="000F1EC3">
              <w:rPr>
                <w:rFonts w:ascii="Times New Roman" w:hAnsi="Times New Roman"/>
                <w:sz w:val="24"/>
              </w:rPr>
              <w:lastRenderedPageBreak/>
              <w:t>soát, điều chỉnh cho phù hợp.</w:t>
            </w:r>
          </w:p>
        </w:tc>
      </w:tr>
      <w:tr w:rsidR="005E54B6" w:rsidRPr="000F1EC3" w14:paraId="6E09604B" w14:textId="77777777" w:rsidTr="001B580E">
        <w:trPr>
          <w:gridAfter w:val="1"/>
          <w:wAfter w:w="8" w:type="dxa"/>
        </w:trPr>
        <w:tc>
          <w:tcPr>
            <w:tcW w:w="914" w:type="dxa"/>
            <w:vAlign w:val="center"/>
          </w:tcPr>
          <w:p w14:paraId="7E994EA4"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5A6AF2B2"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3ED801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Gia Lai (văn bản số 3648/SXD-GT ngày 11/5/2026)</w:t>
            </w:r>
          </w:p>
        </w:tc>
        <w:tc>
          <w:tcPr>
            <w:tcW w:w="8872" w:type="dxa"/>
            <w:vAlign w:val="center"/>
          </w:tcPr>
          <w:p w14:paraId="5957BBA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rà soát, không viết hoa từ “khoản” nhằm đảm bảo phù hợp theo quy tắc viết hoa trong văn bản quy phạm pháp luật tại Phụ lục I ban hành kèm theo Nghị định số 187/2025/NĐ-CP là “Trường hợp viện dẫn phần, chương, mục, tiểu mục, điều, khoản, điểm của một văn bản cụ thể thì viết hoa chữ cái đầu của phần, chương, mục, tiểu mục, điều” (khoản 5 Điều 17, khoản 4 Điều 35,…).</w:t>
            </w:r>
          </w:p>
        </w:tc>
        <w:tc>
          <w:tcPr>
            <w:tcW w:w="2793" w:type="dxa"/>
            <w:vAlign w:val="center"/>
          </w:tcPr>
          <w:p w14:paraId="15C6286B" w14:textId="1A2FA0C7" w:rsidR="005E54B6" w:rsidRPr="000F1EC3" w:rsidRDefault="0081493C" w:rsidP="0081493C">
            <w:pPr>
              <w:shd w:val="clear" w:color="auto" w:fill="FFFFFF"/>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2DEF9003" w14:textId="77777777" w:rsidTr="001B580E">
        <w:trPr>
          <w:gridAfter w:val="1"/>
          <w:wAfter w:w="8" w:type="dxa"/>
        </w:trPr>
        <w:tc>
          <w:tcPr>
            <w:tcW w:w="914" w:type="dxa"/>
            <w:vAlign w:val="center"/>
          </w:tcPr>
          <w:p w14:paraId="78C00BC3"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7A90350B"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94FD4E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Hưng Yên (văn bản số 2188/SXD-QLKCHT ngày 12/5/2026)</w:t>
            </w:r>
          </w:p>
        </w:tc>
        <w:tc>
          <w:tcPr>
            <w:tcW w:w="8872" w:type="dxa"/>
            <w:vAlign w:val="center"/>
          </w:tcPr>
          <w:p w14:paraId="56A800D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bổ sung quy định cụ thể về phương tiện thủy khác không phải tàu biển, tàu sông; cơ quan có thẩm quyền nào thực hiện nhiệm vụ quản lý nhà nước đối với phương tiện thủy trên.</w:t>
            </w:r>
          </w:p>
        </w:tc>
        <w:tc>
          <w:tcPr>
            <w:tcW w:w="2793" w:type="dxa"/>
            <w:vAlign w:val="center"/>
          </w:tcPr>
          <w:p w14:paraId="3037A1B9" w14:textId="7BE40942" w:rsidR="0081493C" w:rsidRPr="000F1EC3" w:rsidRDefault="0081493C" w:rsidP="0081493C">
            <w:pPr>
              <w:shd w:val="clear" w:color="auto" w:fill="FFFFFF"/>
              <w:spacing w:before="20" w:after="20"/>
              <w:jc w:val="both"/>
              <w:rPr>
                <w:rFonts w:ascii="Times New Roman" w:hAnsi="Times New Roman"/>
                <w:sz w:val="24"/>
              </w:rPr>
            </w:pPr>
            <w:r w:rsidRPr="000F1EC3">
              <w:rPr>
                <w:rFonts w:ascii="Times New Roman" w:hAnsi="Times New Roman"/>
                <w:sz w:val="24"/>
              </w:rPr>
              <w:t>Tiếp thu, bổ sung tại Điều 33, 36 dự thảo Bộ luật.</w:t>
            </w:r>
          </w:p>
          <w:p w14:paraId="0634AD78" w14:textId="77777777" w:rsidR="005E54B6" w:rsidRPr="000F1EC3" w:rsidRDefault="005E54B6" w:rsidP="005E54B6">
            <w:pPr>
              <w:spacing w:before="20" w:after="20"/>
              <w:jc w:val="both"/>
              <w:rPr>
                <w:rFonts w:ascii="Times New Roman" w:hAnsi="Times New Roman"/>
                <w:sz w:val="24"/>
              </w:rPr>
            </w:pPr>
          </w:p>
        </w:tc>
      </w:tr>
      <w:tr w:rsidR="005E54B6" w:rsidRPr="000F1EC3" w14:paraId="16271FDC" w14:textId="77777777" w:rsidTr="001B580E">
        <w:trPr>
          <w:gridAfter w:val="1"/>
          <w:wAfter w:w="8" w:type="dxa"/>
        </w:trPr>
        <w:tc>
          <w:tcPr>
            <w:tcW w:w="914" w:type="dxa"/>
            <w:vAlign w:val="center"/>
          </w:tcPr>
          <w:p w14:paraId="5A749E80" w14:textId="77777777" w:rsidR="005E54B6" w:rsidRPr="000F1EC3" w:rsidRDefault="005E54B6" w:rsidP="005E54B6">
            <w:pPr>
              <w:pStyle w:val="ListParagraph"/>
              <w:numPr>
                <w:ilvl w:val="0"/>
                <w:numId w:val="15"/>
              </w:numPr>
              <w:spacing w:before="20" w:after="20"/>
              <w:ind w:firstLine="0"/>
              <w:rPr>
                <w:b/>
                <w:bCs/>
                <w:sz w:val="24"/>
              </w:rPr>
            </w:pPr>
          </w:p>
        </w:tc>
        <w:tc>
          <w:tcPr>
            <w:tcW w:w="992" w:type="dxa"/>
            <w:vAlign w:val="center"/>
          </w:tcPr>
          <w:p w14:paraId="46F1856B"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A982972"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Thanh tra Chính phủ</w:t>
            </w:r>
          </w:p>
          <w:p w14:paraId="7A7AD081"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1317/ TTCP- C.VII ngày 07/5/2026)</w:t>
            </w:r>
          </w:p>
        </w:tc>
        <w:tc>
          <w:tcPr>
            <w:tcW w:w="8872" w:type="dxa"/>
            <w:vAlign w:val="center"/>
          </w:tcPr>
          <w:p w14:paraId="549DD9C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1. Nội dung của Bộ luật phù hợp, thống nhất với các luật khác có liên quan như: Bộ Luật Dân sự, Luật Giao dịch điện tử năm 2023, Luật Đất đai năm 2024, Luật Đầu tư công năm 2024, Luật Thanh tra năm 2025, Luật Khoa học, Công nghệ và Đổi mới sáng tạo năm 2025, Luật Xây dựng năm 2025, Luật Quy hoạch năm 2025, Luật Đầu tư năm 2025, Luật chuyển đổi số năm 2025, Luật trí tuệ nhân tạo năm 2025 ...phù hợp với các điều ước quốc tế mà Việt Nam là thành viên</w:t>
            </w:r>
          </w:p>
          <w:p w14:paraId="46B7826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2. Thống nhất về kết cấu, nội dung các quy định về hàng hải và quy định về đường thủy nội địa; tránh các nội dung có quy định lặp lại hoặc có mâu thuẫn, không thống nhất.</w:t>
            </w:r>
          </w:p>
          <w:p w14:paraId="09117EB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3. Nghiên cứu, cắt giảm các thủ tục hành chính không cần thiết</w:t>
            </w:r>
          </w:p>
        </w:tc>
        <w:tc>
          <w:tcPr>
            <w:tcW w:w="2793" w:type="dxa"/>
            <w:vAlign w:val="center"/>
          </w:tcPr>
          <w:p w14:paraId="7F37AE50" w14:textId="07EBDABC"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2"/>
                <w:szCs w:val="22"/>
              </w:rPr>
              <w:t>Tiếp thu, quá trình xây dựng, hoàn thiện dự án Bộ luật, cơ quan chủ trì soạn thảo đã rà soát, bảo đảm tính thống nhất, phù hợp giữ các quy định tại dự thảo Bộ luật và giữa dự thảo với các quy định, điều ước quốc tế liên quan, đồng thời, rà soát, bảo đảm nguyên tắc cắt giảm các quy định về thủ tục hành chính không cần thiết.</w:t>
            </w:r>
          </w:p>
        </w:tc>
      </w:tr>
      <w:tr w:rsidR="00845D33" w:rsidRPr="000F1EC3" w14:paraId="348A62A5" w14:textId="77777777" w:rsidTr="00845D33">
        <w:trPr>
          <w:gridAfter w:val="1"/>
          <w:wAfter w:w="8" w:type="dxa"/>
        </w:trPr>
        <w:tc>
          <w:tcPr>
            <w:tcW w:w="914" w:type="dxa"/>
            <w:vAlign w:val="center"/>
          </w:tcPr>
          <w:p w14:paraId="46E4FD0A" w14:textId="464DF5DF" w:rsidR="00845D33" w:rsidRPr="00845D33" w:rsidRDefault="00845D33" w:rsidP="00845D33">
            <w:pPr>
              <w:spacing w:before="20" w:after="20"/>
              <w:ind w:left="360"/>
              <w:rPr>
                <w:b/>
                <w:bCs/>
                <w:sz w:val="24"/>
              </w:rPr>
            </w:pPr>
            <w:r>
              <w:rPr>
                <w:b/>
                <w:bCs/>
                <w:sz w:val="24"/>
              </w:rPr>
              <w:t>II</w:t>
            </w:r>
          </w:p>
        </w:tc>
        <w:tc>
          <w:tcPr>
            <w:tcW w:w="14277" w:type="dxa"/>
            <w:gridSpan w:val="4"/>
            <w:vAlign w:val="center"/>
          </w:tcPr>
          <w:p w14:paraId="7B4C2DEA" w14:textId="153D22E9" w:rsidR="00845D33" w:rsidRPr="000F1EC3" w:rsidRDefault="00845D33" w:rsidP="005E54B6">
            <w:pPr>
              <w:spacing w:before="20" w:after="20"/>
              <w:jc w:val="both"/>
              <w:rPr>
                <w:rFonts w:ascii="Times New Roman" w:hAnsi="Times New Roman"/>
                <w:sz w:val="22"/>
                <w:szCs w:val="22"/>
              </w:rPr>
            </w:pPr>
            <w:r>
              <w:rPr>
                <w:rFonts w:ascii="Times New Roman" w:hAnsi="Times New Roman"/>
                <w:b/>
                <w:bCs/>
                <w:sz w:val="24"/>
              </w:rPr>
              <w:t>Ý kiến cụ thể</w:t>
            </w:r>
          </w:p>
        </w:tc>
      </w:tr>
      <w:tr w:rsidR="005E54B6" w:rsidRPr="000F1EC3" w14:paraId="42EBED6B" w14:textId="77777777" w:rsidTr="001B580E">
        <w:trPr>
          <w:gridAfter w:val="1"/>
          <w:wAfter w:w="8" w:type="dxa"/>
        </w:trPr>
        <w:tc>
          <w:tcPr>
            <w:tcW w:w="914" w:type="dxa"/>
            <w:vAlign w:val="center"/>
          </w:tcPr>
          <w:p w14:paraId="75FE0ADE"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2DF3DF96"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Điều 1</w:t>
            </w:r>
          </w:p>
        </w:tc>
        <w:tc>
          <w:tcPr>
            <w:tcW w:w="1620" w:type="dxa"/>
            <w:vAlign w:val="center"/>
          </w:tcPr>
          <w:p w14:paraId="7FD5378F"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Sở Xây dựng Quảng Ninh</w:t>
            </w:r>
          </w:p>
          <w:p w14:paraId="31C1606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(Văn bản số 4110/SXD-QLKCHT&amp;ATGT ngày 08/5/2026)</w:t>
            </w:r>
          </w:p>
        </w:tc>
        <w:tc>
          <w:tcPr>
            <w:tcW w:w="8872" w:type="dxa"/>
            <w:vAlign w:val="center"/>
          </w:tcPr>
          <w:p w14:paraId="629B7E1E"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sz w:val="24"/>
              </w:rPr>
              <w:t>Đề nghị quy định rõ ranh giới giữa hoạt động hàng hải và hoạt động đường thủy nội địa tại các khu vực sông, luồng lạch liên thông. Đặc biệt đối với các địa phương như Quảng Ninh, Hải Phòng… là nơi có hệ thống sông - biển giao thoa, dễ phát sinh chồng lấn trong quản lý và khai thác</w:t>
            </w:r>
          </w:p>
        </w:tc>
        <w:tc>
          <w:tcPr>
            <w:tcW w:w="2793" w:type="dxa"/>
            <w:vAlign w:val="center"/>
          </w:tcPr>
          <w:p w14:paraId="02424208" w14:textId="27BEBB6F" w:rsidR="005E54B6" w:rsidRPr="000F1EC3" w:rsidRDefault="0081493C" w:rsidP="005E54B6">
            <w:pPr>
              <w:spacing w:before="20" w:after="20"/>
              <w:jc w:val="center"/>
              <w:rPr>
                <w:rFonts w:ascii="Times New Roman" w:hAnsi="Times New Roman"/>
                <w:sz w:val="24"/>
              </w:rPr>
            </w:pPr>
            <w:r w:rsidRPr="000F1EC3">
              <w:rPr>
                <w:rFonts w:ascii="Times New Roman" w:hAnsi="Times New Roman"/>
                <w:sz w:val="24"/>
              </w:rPr>
              <w:t>Tiếp thu, chỉnh sửa</w:t>
            </w:r>
          </w:p>
        </w:tc>
      </w:tr>
      <w:tr w:rsidR="005E54B6" w:rsidRPr="000F1EC3" w14:paraId="27AB1361" w14:textId="77777777" w:rsidTr="001B580E">
        <w:trPr>
          <w:gridAfter w:val="1"/>
          <w:wAfter w:w="8" w:type="dxa"/>
        </w:trPr>
        <w:tc>
          <w:tcPr>
            <w:tcW w:w="914" w:type="dxa"/>
            <w:vAlign w:val="center"/>
          </w:tcPr>
          <w:p w14:paraId="70000AC5"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4CAA23CC"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62C293E"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57370B1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2 Điều 1 dự thảo Bộ luật (Về phạm vi điều chỉnh) quy định “2. Đối với tàu quân sự, tàu công vụ, tàu cá, tàu ngầm, tàu lặn, thủy phi cơ và cảng cá chỉ áp dụng trong trường hợp có quy định cụ thể của Bộ luật này”. Tuy nhiên, do dự thảo Bộ luật có quy định một số nội dung liên quan đến tàu công vụ, tàu cá, cảng cá, khu neo đậu tránh trú bão cho tàu cá, hoạt động khai thác thủy sản trên biển và công tác kiểm ngư, do đó, đề nghị Bộ Xây dựng tiếp tục rà soát, đối chiếu với các văn bản pháp luật để bảo đảm thống nhất với pháp luật chuyên ngành về thủy sản, tránh chồng chéo thẩm quyền quản lý nhà nước giữa cơ quan hàng hải, đường thủy nội địa với cơ quan quản lý nhà nước về thủy sản và kiểm ngư.</w:t>
            </w:r>
          </w:p>
        </w:tc>
        <w:tc>
          <w:tcPr>
            <w:tcW w:w="2793" w:type="dxa"/>
            <w:vAlign w:val="center"/>
          </w:tcPr>
          <w:p w14:paraId="75B1237B" w14:textId="49961CDC"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2"/>
                <w:szCs w:val="22"/>
              </w:rPr>
              <w:t>Tiếp thu, quá trình xây dựng, hoàn thiện dự án Bộ luật, cơ quan chủ trì soạn thảo đã rà soát, bảo đảm tính thống nhất, phù hợp giữ các quy định tại dự thảo Bộ luật và giữa dự thảo với các quy định, điều ước quốc tế liên quan.</w:t>
            </w:r>
          </w:p>
        </w:tc>
      </w:tr>
      <w:tr w:rsidR="005E54B6" w:rsidRPr="000F1EC3" w14:paraId="6C3BD0E0" w14:textId="77777777" w:rsidTr="001B580E">
        <w:trPr>
          <w:gridAfter w:val="1"/>
          <w:wAfter w:w="8" w:type="dxa"/>
        </w:trPr>
        <w:tc>
          <w:tcPr>
            <w:tcW w:w="914" w:type="dxa"/>
            <w:vAlign w:val="center"/>
          </w:tcPr>
          <w:p w14:paraId="69134714"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39AB81D"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195EEF4"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Quảng Trị (văn bản số 74/DBQH-CTQH ngày 11/5/2026)</w:t>
            </w:r>
          </w:p>
        </w:tc>
        <w:tc>
          <w:tcPr>
            <w:tcW w:w="8872" w:type="dxa"/>
            <w:vAlign w:val="center"/>
          </w:tcPr>
          <w:p w14:paraId="6FFCC5E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Dự thảo đã gộp Bộ Luật Hàng hải và Luật Đường thủy nội địa, nhưng Điều 1 chỉ trích dẫn một số đối tượng đặc thù so với Bộ luật Hàng hải hiện hành. Đề nghị Ban soạn thảo nghiên cứu bổ sung rõ trong khoản 2 Điều 1 các đối tượng từng được miễn hoặc điều chỉnh đặc biệt (như “phương tiện thủy nội địa, kho chứa nổi, giàn di động, ụ nổi, cảng quân sự, cảng thủy nội địa” như Bộ luật Hàng hải 2015 đã quy định) để không vô tình mở rộng phạm vi áp dụng. Lý do là vì, nếu thiếu các ngoại lệ này, nhiều phương tiện và cảng đặc thù (từng theo quy định riêng) có thể bị chi phối “ngoại giao” không phù hợp, gây khó cho doanh nghiệp và cơ quan quản lý. Vì vậy, đề nghị Ban soạn nghiên cứu bổ sung sao cho Điều 1 (2) của dự thảo tương ứng nội dung Điều 1 (2) của Bộ luật Hàng hải năm 2015.</w:t>
            </w:r>
          </w:p>
        </w:tc>
        <w:tc>
          <w:tcPr>
            <w:tcW w:w="2793" w:type="dxa"/>
            <w:vAlign w:val="center"/>
          </w:tcPr>
          <w:p w14:paraId="4F402E44" w14:textId="34844CBA"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Nội dung này đề nghị giữ nguyên như dự thảo để bảo đảm tính quốc phòng, an ninh, an toàn trong hỏa động hàng hải, đường thủy nội địa.</w:t>
            </w:r>
          </w:p>
        </w:tc>
      </w:tr>
      <w:tr w:rsidR="005E54B6" w:rsidRPr="000F1EC3" w14:paraId="65FC677D" w14:textId="77777777" w:rsidTr="001B580E">
        <w:trPr>
          <w:gridAfter w:val="1"/>
          <w:wAfter w:w="8" w:type="dxa"/>
        </w:trPr>
        <w:tc>
          <w:tcPr>
            <w:tcW w:w="914" w:type="dxa"/>
            <w:vAlign w:val="center"/>
          </w:tcPr>
          <w:p w14:paraId="4DC909F9"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3490852D"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751E285"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Hiệp hội Cảng biển Việt Nam (84/VPA-BC ngày 11/5/2026)</w:t>
            </w:r>
          </w:p>
        </w:tc>
        <w:tc>
          <w:tcPr>
            <w:tcW w:w="8872" w:type="dxa"/>
            <w:vAlign w:val="center"/>
          </w:tcPr>
          <w:p w14:paraId="0B6BD39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xuất: Đề nghị quy định rõ ranh giới quản lý giữa hàng hải và đường thủy nội địa trong vùng nước cảng biển, khu chuyển tải, khu neo đậu, vùng nước kết nối. Diễn giải: Dự thảo hợp nhất hai lĩnh vực trong một Bộ luật, phạm vi rất rộng, bao gồm kết cấu hạ tầng, tàu thuyền, vận tải, an toàn, an ninh, môi trường và quản lý nhà nước. Nếu không phân định rõ, doanh nghiệp cảng có thể chịu quản lý trùng lặp giữa Cảng vụ hàng hải, Cảng vụ đường thủy nội địa và cơ quan địa phương.</w:t>
            </w:r>
          </w:p>
        </w:tc>
        <w:tc>
          <w:tcPr>
            <w:tcW w:w="2793" w:type="dxa"/>
            <w:vAlign w:val="center"/>
          </w:tcPr>
          <w:p w14:paraId="42A2434B" w14:textId="60AB66AA" w:rsidR="005E54B6" w:rsidRPr="000F1EC3" w:rsidRDefault="0081493C" w:rsidP="005E54B6">
            <w:pPr>
              <w:spacing w:before="20" w:after="20"/>
              <w:jc w:val="center"/>
              <w:rPr>
                <w:rFonts w:ascii="Times New Roman" w:hAnsi="Times New Roman"/>
                <w:sz w:val="24"/>
              </w:rPr>
            </w:pPr>
            <w:r w:rsidRPr="000F1EC3">
              <w:rPr>
                <w:rFonts w:ascii="Times New Roman" w:hAnsi="Times New Roman"/>
                <w:sz w:val="24"/>
              </w:rPr>
              <w:t>Tiếp thu, chỉnh sửa</w:t>
            </w:r>
          </w:p>
        </w:tc>
      </w:tr>
      <w:tr w:rsidR="005E54B6" w:rsidRPr="000F1EC3" w14:paraId="25379ACE" w14:textId="77777777" w:rsidTr="001B580E">
        <w:trPr>
          <w:gridAfter w:val="1"/>
          <w:wAfter w:w="8" w:type="dxa"/>
        </w:trPr>
        <w:tc>
          <w:tcPr>
            <w:tcW w:w="914" w:type="dxa"/>
            <w:vAlign w:val="center"/>
          </w:tcPr>
          <w:p w14:paraId="1F1B1F0C"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E82D3C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C030030"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 xml:space="preserve">Sở Xây dựng Lào Cai (văn bản số </w:t>
            </w:r>
            <w:r w:rsidRPr="000F1EC3">
              <w:rPr>
                <w:rFonts w:ascii="Times New Roman" w:hAnsi="Times New Roman"/>
                <w:b/>
                <w:bCs/>
                <w:sz w:val="24"/>
              </w:rPr>
              <w:lastRenderedPageBreak/>
              <w:t>2441/SXD-VTPTNL ngày 8/5/2026)</w:t>
            </w:r>
          </w:p>
        </w:tc>
        <w:tc>
          <w:tcPr>
            <w:tcW w:w="8872" w:type="dxa"/>
            <w:vAlign w:val="center"/>
          </w:tcPr>
          <w:p w14:paraId="0A2B003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Tại khoản 1 Điều 1 dự thảo quy định: "Bộ luật này quy định về hoạt động hàng hải và giao thông đường thủy nội địa bao gồm các quy định về kết cấu hạ tầng, tàu thuyền, thuyền viên, vận tải, an toàn, an ninh, bảo vệ môi trường, quản lý nhà nước về hàng hải, giao thông </w:t>
            </w:r>
            <w:r w:rsidRPr="000F1EC3">
              <w:rPr>
                <w:rFonts w:ascii="Times New Roman" w:hAnsi="Times New Roman"/>
                <w:sz w:val="24"/>
              </w:rPr>
              <w:lastRenderedPageBreak/>
              <w:t>đường thủy nội địa và các hoạt động khác liên quan đến việc sử dụng tàu thuyền vào mục đích kinh tế, văn hóa, xã hội, thể thao và nghiên cứu khoa học". Tuy nhiên theo quy định tại khoản 2 Điều 1 dự thảo Bộ luật Hàng hải và Đường thủy nội địa Việt Nam quy định: "Đối với tàu quân sự, tàu công vụ, tàu cá, tàu ngầm, tàu lặn, thủy phi cơ và cảng cá chỉ áp dụng trong trường hợp có quy định cụ thể của Bộ luật này". Việc khoản 1 loại bỏ mục đích "công vụ" ra khỏi phạm vi các hoạt động liên quan đến việc sử dụng tàu thuyền so với quy định tại Điều 1 Bộ luật Hàng hải Việt Nam năm 2015, nhưng khoản 2 lại có quy định dẫn chiếu áp dụng đối với "tàu công vụ" là thiếu sự thống nhất, logic về nội hàm của phạm vi điều chỉnh ngay trong cùng một điều luật. Do đó đề nghị cơ quan soạn thảo, rà soát, chỉnh sửa bổ sung cụm từ "công vụ" vào đoạn cuối của khoản 1 Điều 1 dự thảo thành: "...các hoạt động khác liên quan đến việc sử dụng tàu thuyền vào mục đích kinh tế, văn hóa, xã hội, thể thao, công vụ và nghiên cứu khoa học" cho phù hợp.</w:t>
            </w:r>
          </w:p>
        </w:tc>
        <w:tc>
          <w:tcPr>
            <w:tcW w:w="2793" w:type="dxa"/>
            <w:vAlign w:val="center"/>
          </w:tcPr>
          <w:p w14:paraId="2EB3079B" w14:textId="7DA75F64" w:rsidR="005E54B6" w:rsidRPr="000F1EC3" w:rsidRDefault="0081493C" w:rsidP="005E54B6">
            <w:pPr>
              <w:spacing w:before="20" w:after="20"/>
              <w:jc w:val="center"/>
              <w:rPr>
                <w:rFonts w:ascii="Times New Roman" w:hAnsi="Times New Roman"/>
                <w:b/>
                <w:bCs/>
                <w:sz w:val="24"/>
              </w:rPr>
            </w:pPr>
            <w:r w:rsidRPr="000F1EC3">
              <w:rPr>
                <w:rFonts w:ascii="Times New Roman" w:hAnsi="Times New Roman"/>
                <w:sz w:val="24"/>
              </w:rPr>
              <w:lastRenderedPageBreak/>
              <w:t>Tiếp thu, chỉnh sửa</w:t>
            </w:r>
          </w:p>
        </w:tc>
      </w:tr>
      <w:tr w:rsidR="005E54B6" w:rsidRPr="000F1EC3" w14:paraId="139AEA00" w14:textId="77777777" w:rsidTr="001B580E">
        <w:trPr>
          <w:gridAfter w:val="1"/>
          <w:wAfter w:w="8" w:type="dxa"/>
        </w:trPr>
        <w:tc>
          <w:tcPr>
            <w:tcW w:w="914" w:type="dxa"/>
            <w:vAlign w:val="center"/>
          </w:tcPr>
          <w:p w14:paraId="613A8DFA"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E65920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9A0DB95"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sz w:val="24"/>
              </w:rPr>
              <w:t>Sở Xây dựng Vĩnh Long (văn bản số 3079/SXD-VTAT ngày 11/5/2026)</w:t>
            </w:r>
          </w:p>
        </w:tc>
        <w:tc>
          <w:tcPr>
            <w:tcW w:w="8872" w:type="dxa"/>
            <w:vAlign w:val="center"/>
          </w:tcPr>
          <w:p w14:paraId="6B14BB5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25 lựa chọn phương án 2 (không nêu lý do)</w:t>
            </w:r>
          </w:p>
        </w:tc>
        <w:tc>
          <w:tcPr>
            <w:tcW w:w="2793" w:type="dxa"/>
            <w:vAlign w:val="center"/>
          </w:tcPr>
          <w:p w14:paraId="15630A9D" w14:textId="285B52D9" w:rsidR="005E54B6" w:rsidRPr="000F1EC3" w:rsidRDefault="0081493C" w:rsidP="0081493C">
            <w:pPr>
              <w:shd w:val="clear" w:color="auto" w:fill="FFFFFF"/>
              <w:spacing w:before="20" w:after="20"/>
              <w:jc w:val="both"/>
              <w:rPr>
                <w:rFonts w:ascii="Times New Roman" w:hAnsi="Times New Roman"/>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67C31CD7" w14:textId="77777777" w:rsidTr="001B580E">
        <w:trPr>
          <w:gridAfter w:val="1"/>
          <w:wAfter w:w="8" w:type="dxa"/>
        </w:trPr>
        <w:tc>
          <w:tcPr>
            <w:tcW w:w="914" w:type="dxa"/>
            <w:vAlign w:val="center"/>
          </w:tcPr>
          <w:p w14:paraId="390FC7FC"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D77DB0D"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A1B46A8"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3372791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Quy định hiện nay có phạm vi quá rộng, bao quát gần như toàn bộ hoạt động liên quan đến tàu thuyền. Đề nghị cân nhắc: Tách rõ hoạt động hàng hải quốc tế với hoạt động giao thông đường thủy nội địa; làm rõ hơn phạm vi điều chỉnh đối với tàu công vụ, tàu quân sự và phương tiện đặc thù; bổ sung nguyên tắc không chồng lấn với pháp luật chuyên ngành quốc phòng, an ninh. Bên cạnh đó, cụm từ “các hoạt động khác liên quan đến việc sử dụng tàu thuyền” tại khoản 1 là quá rộng, tiềm ẩn nguy cơ mở rộng tùy nghi phạm vi điều chỉnh. Đề nghị giới hạn theo hướng: “các hoạt động khác có liên quan trực tiếp đến quản lý, khai thác, vận hành và bảo đảm an toàn hàng hải, giao thông đường thủy nội địa” cho chặt chẽ hơn.</w:t>
            </w:r>
          </w:p>
        </w:tc>
        <w:tc>
          <w:tcPr>
            <w:tcW w:w="2793" w:type="dxa"/>
            <w:vAlign w:val="center"/>
          </w:tcPr>
          <w:p w14:paraId="499B5971" w14:textId="390E834D" w:rsidR="005E54B6" w:rsidRPr="000F1EC3" w:rsidRDefault="0081493C" w:rsidP="005E54B6">
            <w:pPr>
              <w:spacing w:before="20" w:after="20"/>
              <w:jc w:val="center"/>
              <w:rPr>
                <w:rFonts w:ascii="Times New Roman" w:hAnsi="Times New Roman"/>
                <w:sz w:val="24"/>
              </w:rPr>
            </w:pPr>
            <w:r w:rsidRPr="000F1EC3">
              <w:rPr>
                <w:rFonts w:ascii="Times New Roman" w:hAnsi="Times New Roman"/>
                <w:sz w:val="24"/>
              </w:rPr>
              <w:t>Tiếp thu, chỉnh sửa</w:t>
            </w:r>
          </w:p>
        </w:tc>
      </w:tr>
      <w:tr w:rsidR="005E54B6" w:rsidRPr="000F1EC3" w14:paraId="527E9138" w14:textId="77777777" w:rsidTr="001B580E">
        <w:trPr>
          <w:gridAfter w:val="1"/>
          <w:wAfter w:w="8" w:type="dxa"/>
        </w:trPr>
        <w:tc>
          <w:tcPr>
            <w:tcW w:w="914" w:type="dxa"/>
            <w:vAlign w:val="center"/>
          </w:tcPr>
          <w:p w14:paraId="43364750"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45A8E6C"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1168E36"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 xml:space="preserve">Trường ĐHGTVT TP HCM </w:t>
            </w:r>
            <w:r w:rsidRPr="000F1EC3">
              <w:rPr>
                <w:rFonts w:ascii="Times New Roman" w:hAnsi="Times New Roman"/>
                <w:b/>
                <w:bCs/>
                <w:sz w:val="24"/>
              </w:rPr>
              <w:lastRenderedPageBreak/>
              <w:t>(văn bản số 260511-02/CV-UTH-MLP ngày 11/5/2026)</w:t>
            </w:r>
          </w:p>
        </w:tc>
        <w:tc>
          <w:tcPr>
            <w:tcW w:w="8872" w:type="dxa"/>
            <w:vAlign w:val="center"/>
          </w:tcPr>
          <w:p w14:paraId="095AAAA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Tại Điều 1 quy định “Bộ luật này quy định về hoạt động hàng hải và giao thông đường thủy nội địa bao gồm các quy định về kết cấu hạ tầng, tàu thuyền, thuyền viên, vận tải, an toàn, an ninh, bảo vệ môi trường, quản lý nhà nước về hàng hải, giao thông đường thủy nội địa </w:t>
            </w:r>
            <w:r w:rsidRPr="000F1EC3">
              <w:rPr>
                <w:rFonts w:ascii="Times New Roman" w:hAnsi="Times New Roman"/>
                <w:sz w:val="24"/>
              </w:rPr>
              <w:lastRenderedPageBreak/>
              <w:t>và các hoạt động khác liên quan đến việc sử dụng tàu thuyền vào mục đích kinh tế, văn hóa, xã hội, thể thao và nghiên cứu khoa học". Hiện nay dự thảo đang “hợp nhất” hai lĩnh vực có bản chất pháp lý khác nhau vào cùng một Bộ luật. Cụ thể hoạt động hàng hải mang tính quốc tế cao, gắn với thương mại quốc tế, điều ước quốc tế và tập quán hàng hải quốc tế; trong khỉ đó hoạt động giao thông đường thủy nội địa chủ yếu mang tính quản lý hành chính, giao thông vận tải nội địa. Việc hợp nhất này dễ dẫn đến khó xác định phạm vi áp dụng của từng nhóm quy định; phát sinh chồng chéo giữa quản lý hàng hải và quản lý giao thông đường thủy nội địa; khó khăn trong xây dựng văn bản hướng dẫn thi hành; khó xác định thẩm quyền quản lý và giải quyết tranh chấp. Do đó, cần quy định phạm vi điều chỉnh tại Điều 1 để phân định rõ nhóm quy phạm điều chỉnh hoạt động hàng hải và nhóm quy phạm điều chỉnh giao thông đường thủy nội địa; cụ thể như sau: Điều 1. Phạm vi điều chỉnh 1. Bộ luật này quy định về hoạt động hàng hải, bao gồm: Quản lý, khai thác kết cấu hạ tầng hàng hải; tàu biển và hoạt động của tàu biển; thuyền viên hàng hải; cảng biển, luồng hàng hải, hoa tiêu hàng hải; vận tải biển; an toàn hàng hải, an ninh hàng hải, bảo vệ môi trường biển; hoạt động thương mại hàng hải và các quan hệ pháp lý phát sinh từ hoạt động hàng hải có yếu tố trong nước hoặc quốc tế; quản lý nhà nước về hàng hải. 2. Bộ luật này quy định về hoạt động giao thông đường thủy nội địa, bao gồm: kết cấu hạ tầng đường thủy nội địa; phương tiện thủy nội địa; người lái phương tiện, thuyền viên đường thủy nội địa; cảng, bến thủy nội địa; vận tải đường thủy nội địa; an toàn giao thông đường thủy nội địa; bảo vệ môi trường trong hoạt động giao thông đường thủy nội địa; quản lý nhà nước về giao thông đường thủy nội địa.</w:t>
            </w:r>
          </w:p>
        </w:tc>
        <w:tc>
          <w:tcPr>
            <w:tcW w:w="2793" w:type="dxa"/>
            <w:vAlign w:val="center"/>
          </w:tcPr>
          <w:p w14:paraId="76526877" w14:textId="78C320F5"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 xml:space="preserve">Đề nghị giữ nguyên như dự thảo nhằm tránh tình trạng </w:t>
            </w:r>
            <w:r w:rsidRPr="000F1EC3">
              <w:rPr>
                <w:rFonts w:ascii="Times New Roman" w:hAnsi="Times New Roman"/>
                <w:sz w:val="24"/>
              </w:rPr>
              <w:lastRenderedPageBreak/>
              <w:t>hợp nhất cơ học hai văn bản luật</w:t>
            </w:r>
            <w:r w:rsidRPr="000F1EC3">
              <w:rPr>
                <w:rFonts w:ascii="Times New Roman" w:hAnsi="Times New Roman"/>
                <w:b/>
                <w:bCs/>
                <w:sz w:val="24"/>
              </w:rPr>
              <w:t>.</w:t>
            </w:r>
          </w:p>
        </w:tc>
      </w:tr>
      <w:tr w:rsidR="005E54B6" w:rsidRPr="000F1EC3" w14:paraId="68D5A8CC" w14:textId="77777777" w:rsidTr="001B580E">
        <w:trPr>
          <w:gridAfter w:val="1"/>
          <w:wAfter w:w="8" w:type="dxa"/>
        </w:trPr>
        <w:tc>
          <w:tcPr>
            <w:tcW w:w="914" w:type="dxa"/>
            <w:vAlign w:val="center"/>
          </w:tcPr>
          <w:p w14:paraId="5C95F213"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F74AFD8"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A8AF5B8"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Sở Xây dựng Quảng Ngãi (văn bản số 3298/SXD-AYGT ngày 11/5/2026)</w:t>
            </w:r>
          </w:p>
        </w:tc>
        <w:tc>
          <w:tcPr>
            <w:tcW w:w="8872" w:type="dxa"/>
            <w:vAlign w:val="center"/>
          </w:tcPr>
          <w:p w14:paraId="00015E4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2: Bổ sung: Đối với tàu quân sự, tàu công vụ, tàu cá, tàu ngầm, tàu lặn, thủy phi cơ, cảng cá, cảng quân sự, giàn di động và bến cảng dầu khí ngoài khơi chỉ áp dụng trong trường hợp có quy định cụ thể của Bộ luật này. Giải thích đề nghị bổ sung: Kế thừa quy định của Bộ luật Hàng hải Việt Nam năm 2015.</w:t>
            </w:r>
          </w:p>
        </w:tc>
        <w:tc>
          <w:tcPr>
            <w:tcW w:w="2793" w:type="dxa"/>
            <w:vAlign w:val="center"/>
          </w:tcPr>
          <w:p w14:paraId="4F897EE3" w14:textId="1CFCFFC2"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Nội dung này đề nghị giữ nguyên như dự thảo để bảo đảm tính quốc phòng, an ninh, an toàn trong hỏa động hàng hải, đường thủy nội địa.</w:t>
            </w:r>
          </w:p>
        </w:tc>
      </w:tr>
      <w:tr w:rsidR="005E54B6" w:rsidRPr="000F1EC3" w14:paraId="627DDBE2" w14:textId="77777777" w:rsidTr="001B580E">
        <w:trPr>
          <w:gridAfter w:val="1"/>
          <w:wAfter w:w="8" w:type="dxa"/>
        </w:trPr>
        <w:tc>
          <w:tcPr>
            <w:tcW w:w="914" w:type="dxa"/>
            <w:vAlign w:val="center"/>
          </w:tcPr>
          <w:p w14:paraId="67B99C1C"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56A6BDA1"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5C5B310"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bCs/>
                <w:sz w:val="24"/>
              </w:rPr>
              <w:t>Sở Xây dựng Hưng Yên (văn bản số 2188/SXD-QLKCHT ngày 12/5/2026)</w:t>
            </w:r>
          </w:p>
        </w:tc>
        <w:tc>
          <w:tcPr>
            <w:tcW w:w="8872" w:type="dxa"/>
            <w:vAlign w:val="center"/>
          </w:tcPr>
          <w:p w14:paraId="1C73440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11: đề nghị bổ sung cụm từ “đường thủy nội địa” như sau: Hàng hóa là máy móc, thiết bị, nguyên vật liệu, nhiên liệu, hàng tiêu dùng và các động sản khác, kể cả động vật sống, container hoặc công cụ tương tự do người giao hàng cung cấp để đóng hàng được vận chuyển theo hợp đồng vận chuyển hàng hóa bằng đường biển và đường thủy nội địa.</w:t>
            </w:r>
          </w:p>
          <w:p w14:paraId="0D05AAD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Khoản 25: Đề nghị xem xét lựa chọn phương án 1 để quy định về cảng, bến thủy nội địa do việc xác định, phân biệt giữa cảng, bến thủy nội địa cần phải được xác định dựa trên các tiêu chí về quy mô cầu tàu, công nghệ xếp dỡ, quy mô vùng đất, vùng nước của cảng, bến </w:t>
            </w:r>
            <w:r w:rsidRPr="000F1EC3">
              <w:rPr>
                <w:rFonts w:ascii="Times New Roman" w:hAnsi="Times New Roman"/>
                <w:sz w:val="24"/>
              </w:rPr>
              <w:lastRenderedPageBreak/>
              <w:t>để đảm bảo khả năng tiếp nhận tàu biển mà không nên chỉ dựa vào số lượng cầu bến để phân biệt giữa cảng và bến thủy nội địa. Thực tế hiện nay, có nhiều cảng thủy nội địa chỉ có 01 cầu tàu nhưng quy mô có quy mô cầu tàu lớn, có công nghệ bốc xếp hiện đại, đủ khả năng tiếp nhận, xếp dỡ hàng hóa đối với tàu biển</w:t>
            </w:r>
          </w:p>
          <w:p w14:paraId="2D78D6D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26: Để bảo đảm thống nhất với nội dung đề nghị bổ sung khái niệm “cầu cảng thủy nội địa” tại khoản 21a và phù hợp với thực tiễn hoạt động bốc xếp hàng hóa tại các bến thủy nội địa hiện nay, đề nghị cơ quan soạn thảo nghiên cứu sửa đổi khái niệm “Bến thủy nội địa” theo hướng không chỉ căn cứ vào số lượng cầu cảng để phân định giữa “cảng” và “bến”. Thực tế hiện nay, nhiều bến hàng hóa có đồng thời các vị trí cầu xúc, bơm hút, băng tải hoặc các thiết bị tiếp nhận vật liệu độc lập. Nếu các vị trí này đều được xác định là “cầu cảng thủy nội địa” thì có thể dẫn đến việc nhiều bến quy mô nhỏ bị xác định thành “cảng thủy nội địa” chỉ do có từ 02 vị trí bốc xếp trở lên, chưa phản ánh đúng tính chất và quy mô khai thác thực tế.</w:t>
            </w:r>
          </w:p>
          <w:p w14:paraId="0FD61DC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Đề nghị xem xét điều chỉnh tăng trọng tải phương tiện tiếp nhận và phương tiện chở khách đối với bến thuỷ nội địa.</w:t>
            </w:r>
          </w:p>
        </w:tc>
        <w:tc>
          <w:tcPr>
            <w:tcW w:w="2793" w:type="dxa"/>
            <w:vAlign w:val="center"/>
          </w:tcPr>
          <w:p w14:paraId="2440BC20" w14:textId="1C972C2C"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Tiếp thu, các quy định đã được rà soát, điều chỉnh cho phù hợp.</w:t>
            </w:r>
          </w:p>
        </w:tc>
      </w:tr>
      <w:tr w:rsidR="005E54B6" w:rsidRPr="000F1EC3" w14:paraId="24A62B64" w14:textId="77777777" w:rsidTr="001B580E">
        <w:trPr>
          <w:gridAfter w:val="1"/>
          <w:wAfter w:w="8" w:type="dxa"/>
        </w:trPr>
        <w:tc>
          <w:tcPr>
            <w:tcW w:w="914" w:type="dxa"/>
            <w:vAlign w:val="center"/>
          </w:tcPr>
          <w:p w14:paraId="11695927"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18DDDCD"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A82B08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Thanh tra Chính phủ</w:t>
            </w:r>
          </w:p>
          <w:p w14:paraId="52BB0794" w14:textId="77777777" w:rsidR="005E54B6" w:rsidRPr="000F1EC3" w:rsidRDefault="005E54B6" w:rsidP="005E54B6">
            <w:pPr>
              <w:shd w:val="clear" w:color="auto" w:fill="FFFFFF"/>
              <w:spacing w:before="20" w:after="20"/>
              <w:jc w:val="center"/>
              <w:rPr>
                <w:rFonts w:ascii="Times New Roman" w:hAnsi="Times New Roman"/>
                <w:b/>
                <w:bCs/>
                <w:sz w:val="24"/>
              </w:rPr>
            </w:pPr>
            <w:r w:rsidRPr="000F1EC3">
              <w:rPr>
                <w:rFonts w:ascii="Times New Roman" w:hAnsi="Times New Roman"/>
                <w:b/>
                <w:sz w:val="24"/>
              </w:rPr>
              <w:t>(Văn bản số 1317/ TTCP- C.VII ngày 07/5/2026)</w:t>
            </w:r>
          </w:p>
        </w:tc>
        <w:tc>
          <w:tcPr>
            <w:tcW w:w="8872" w:type="dxa"/>
            <w:vAlign w:val="center"/>
          </w:tcPr>
          <w:p w14:paraId="6C1E9F1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nghiên cứu bỏ từ “giao thông” trong cụm từ “giao thông đường thủy nội địa” để đảm bảo thống nhất với lĩnh vực hàng hải và nội hàm điều chỉnh của hai lĩnh vực này (bao gồm các quy định về kết cấu hạ tầng, tàu thuyền, thuyền viên, vận tải, an toàn, an ninh, bảo vệ môi trường, quản lý nhà nước về hàng hải, đường thủy nội địa...), đồng thời rà soát để sửa đổi tại các điều khác (như: khoản 1, khoản 2 Điều 3, khoản 1 Điều 13...)</w:t>
            </w:r>
          </w:p>
        </w:tc>
        <w:tc>
          <w:tcPr>
            <w:tcW w:w="2793" w:type="dxa"/>
            <w:vAlign w:val="center"/>
          </w:tcPr>
          <w:p w14:paraId="6DCB2061" w14:textId="60C03DFC" w:rsidR="005E54B6" w:rsidRPr="000F1EC3" w:rsidRDefault="0081493C" w:rsidP="005E54B6">
            <w:pPr>
              <w:spacing w:before="20" w:after="20"/>
              <w:jc w:val="center"/>
              <w:rPr>
                <w:rFonts w:ascii="Times New Roman" w:hAnsi="Times New Roman"/>
                <w:sz w:val="24"/>
              </w:rPr>
            </w:pPr>
            <w:r w:rsidRPr="000F1EC3">
              <w:rPr>
                <w:rFonts w:ascii="Times New Roman" w:hAnsi="Times New Roman"/>
                <w:sz w:val="24"/>
              </w:rPr>
              <w:t>Tiếp thu, chỉnh sửa</w:t>
            </w:r>
          </w:p>
        </w:tc>
      </w:tr>
      <w:tr w:rsidR="005E54B6" w:rsidRPr="000F1EC3" w14:paraId="0E87C2D5" w14:textId="77777777" w:rsidTr="001B580E">
        <w:trPr>
          <w:gridAfter w:val="1"/>
          <w:wAfter w:w="8" w:type="dxa"/>
        </w:trPr>
        <w:tc>
          <w:tcPr>
            <w:tcW w:w="914" w:type="dxa"/>
            <w:vAlign w:val="center"/>
          </w:tcPr>
          <w:p w14:paraId="15DB6270"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C5C24A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5F5E1F9"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14EACAC0"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0E70F18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1: đề nghị bổ sung quy định cảng quân sự, cảng biển lưỡng dụng để viết thành “2. Đối với tàu quân sự, tàu công vụ, tàu cá, tàu ngầm, tàu lặn, thủy phi cơ, cảng quân sự, cảng biển lưỡng dụng và cảng cá chỉ áp dụng trong trường hợp có quy định cụ thể của Bộ luật này”</w:t>
            </w:r>
          </w:p>
        </w:tc>
        <w:tc>
          <w:tcPr>
            <w:tcW w:w="2793" w:type="dxa"/>
            <w:vAlign w:val="center"/>
          </w:tcPr>
          <w:p w14:paraId="1DEFAB35" w14:textId="13A44468"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Tiếp thu, chỉnh sửa theo hướng sử dụng cụm từ cảng phục vụ mục đích quốc phòng, an ninh.</w:t>
            </w:r>
          </w:p>
        </w:tc>
      </w:tr>
      <w:tr w:rsidR="005E54B6" w:rsidRPr="000F1EC3" w14:paraId="70087E91" w14:textId="77777777" w:rsidTr="001B580E">
        <w:trPr>
          <w:gridAfter w:val="1"/>
          <w:wAfter w:w="8" w:type="dxa"/>
        </w:trPr>
        <w:tc>
          <w:tcPr>
            <w:tcW w:w="914" w:type="dxa"/>
            <w:vAlign w:val="center"/>
          </w:tcPr>
          <w:p w14:paraId="094A3029"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E265302"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1F4B63D2"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2A413EF1"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w:t>
            </w:r>
            <w:r w:rsidRPr="000F1EC3">
              <w:rPr>
                <w:rFonts w:ascii="Times New Roman" w:hAnsi="Times New Roman"/>
                <w:b/>
                <w:sz w:val="24"/>
              </w:rPr>
              <w:lastRenderedPageBreak/>
              <w:t>ATHH ngày 11/5/206)</w:t>
            </w:r>
          </w:p>
        </w:tc>
        <w:tc>
          <w:tcPr>
            <w:tcW w:w="8872" w:type="dxa"/>
            <w:vAlign w:val="center"/>
          </w:tcPr>
          <w:p w14:paraId="24185A4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Đề nghị bổ sung giải thích từ ngữ : “Hệ thống hỗ trợ hành hải (Aids to Navigation - AtoN) là công trình, thiết bị, hệ thống hoặc dịch vụ được thiết lập ngoài tàu thuyền nhằm nâng cao an toàn, hiệu quả hoạt động hàng hải và điều phối giao thông tàu thuyền.”</w:t>
            </w:r>
          </w:p>
          <w:p w14:paraId="554B13A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Lý do:</w:t>
            </w:r>
          </w:p>
          <w:p w14:paraId="3C3DD5A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 Định nghĩa của IALA không chỉ giới hạn ở báo hiệu hàng hải (đèn biển, phao, tiêu,…) mà còn gồm cả các thiết bị vô tuyến (AIS AtoN, Racon, Radar Enhancer, …), hệ thống vô </w:t>
            </w:r>
            <w:r w:rsidRPr="000F1EC3">
              <w:rPr>
                <w:rFonts w:ascii="Times New Roman" w:hAnsi="Times New Roman"/>
                <w:sz w:val="24"/>
              </w:rPr>
              <w:lastRenderedPageBreak/>
              <w:t xml:space="preserve">tuyến điện tử (VTS, DGPS…, hệ thống phân luồng giao thông TSS - Traffic Separation Scheme…), hệ thống MSI (cảnh báo hàng hải, cảnh báo khí tượng, thông tin an ninh hàng hải…), dịch vụ hoa tiêu hàng hải, các dịch vụ số (thủy đạc, thủy triều, khí tượng, …) để phục vụ mục đích e-Navigation; </w:t>
            </w:r>
          </w:p>
          <w:p w14:paraId="2B3ADF7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Giai đoạn chuyển đổi số của báo hiệu hàng hải quốc tế;</w:t>
            </w:r>
          </w:p>
          <w:p w14:paraId="0C9B594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Hồ sơ chính sách xây dựng Bộ Luật Hàng hải và Đường thủy nội địa.</w:t>
            </w:r>
          </w:p>
        </w:tc>
        <w:tc>
          <w:tcPr>
            <w:tcW w:w="2793" w:type="dxa"/>
            <w:vAlign w:val="center"/>
          </w:tcPr>
          <w:p w14:paraId="3EBCE776" w14:textId="60EAF70E"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2"/>
                <w:szCs w:val="22"/>
              </w:rPr>
              <w:lastRenderedPageBreak/>
              <w:t>Đề nghị giữ nguyên như dự thảo do trong dự thảo Bộ luật không xuất hiện các quy định cụ thể về Hệ thống hỗ trợ hành hải</w:t>
            </w:r>
          </w:p>
        </w:tc>
      </w:tr>
      <w:tr w:rsidR="005E54B6" w:rsidRPr="000F1EC3" w14:paraId="719C2A18" w14:textId="77777777" w:rsidTr="001B580E">
        <w:trPr>
          <w:gridAfter w:val="1"/>
          <w:wAfter w:w="8" w:type="dxa"/>
        </w:trPr>
        <w:tc>
          <w:tcPr>
            <w:tcW w:w="914" w:type="dxa"/>
            <w:vAlign w:val="center"/>
          </w:tcPr>
          <w:p w14:paraId="10EC85AD"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5CD10135"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5928336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7648FEDC"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6966353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39: Đề nghị sửa lại như sau: “Báo hiệu hàng hải là thành phần của hệ thống hỗ trợ hành hải, bao gồm công trình, thiết bị, hệ thống hoặc dịch vụ được thiết lập ngoài tàu thuyền nhằm chỉ dẫn, hỗ trợ và bảo đảm cho tàu thuyền hành hải an toàn, hiệu quả và thông suốt.”</w:t>
            </w:r>
          </w:p>
          <w:p w14:paraId="111412B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Lý do: Bộ luật Hàng hải Việt Nam năm 2015 có quy định về: báo hiệu hàng hải; hoa tiêu hàng hải; VTS; thông báo hàng hải; tìm kiếm cứu nạn; … nhưng chưa có khái niệm tổng thể về dịch vụ này nên cần đưa ra để sử dụng thống nhất trong Luật và các văn bản dưới Luật sau này.</w:t>
            </w:r>
          </w:p>
        </w:tc>
        <w:tc>
          <w:tcPr>
            <w:tcW w:w="2793" w:type="dxa"/>
            <w:vAlign w:val="center"/>
          </w:tcPr>
          <w:p w14:paraId="4A1DBB02" w14:textId="4E5F6438"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Nội dung này đã được rà soát, quy định phù hợp tại khoản 28 Điều 4 dự thảo.</w:t>
            </w:r>
          </w:p>
        </w:tc>
      </w:tr>
      <w:tr w:rsidR="005E54B6" w:rsidRPr="000F1EC3" w14:paraId="353DA139" w14:textId="77777777" w:rsidTr="001B580E">
        <w:trPr>
          <w:gridAfter w:val="1"/>
          <w:wAfter w:w="8" w:type="dxa"/>
        </w:trPr>
        <w:tc>
          <w:tcPr>
            <w:tcW w:w="914" w:type="dxa"/>
            <w:vAlign w:val="center"/>
          </w:tcPr>
          <w:p w14:paraId="0F07C9EA"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38D9DEC4"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1943C6FE"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5835C42E"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21B4049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bổ sung khái niệm “Dịch vụ bảo đảm an toàn hàng hải là hoạt động thiết lập, vận hành và duy trì các hệ thống hỗ trợ hành hải nhằm bảo đảm an toàn, an ninh hàng hải, điều phối giao thông tàu thuyền và bảo vệ môi trường.:</w:t>
            </w:r>
          </w:p>
          <w:p w14:paraId="12219DB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Lý do: Bộ luật Hàng hải Việt Nam năm 2015 có quy định về: báo hiệu hàng hải; hoa tiêu hàng hải; VTS; thông báo hàng hải; tìm kiếm cứu nạn; … nhưng chưa có khái niệm tổng thể về dịch vụ này nên cần đưa ra để sử dụng thống nhất trong Luật và các văn bản dưới Luật sau này</w:t>
            </w:r>
          </w:p>
        </w:tc>
        <w:tc>
          <w:tcPr>
            <w:tcW w:w="2793" w:type="dxa"/>
            <w:vAlign w:val="center"/>
          </w:tcPr>
          <w:p w14:paraId="2EACC63B" w14:textId="7156C03B"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giữ nguyên như dự thảo do trong dự thảo không xuất hiện khái niệm này.</w:t>
            </w:r>
          </w:p>
        </w:tc>
      </w:tr>
      <w:tr w:rsidR="005E54B6" w:rsidRPr="000F1EC3" w14:paraId="3AF45657" w14:textId="77777777" w:rsidTr="001B580E">
        <w:trPr>
          <w:gridAfter w:val="1"/>
          <w:wAfter w:w="8" w:type="dxa"/>
        </w:trPr>
        <w:tc>
          <w:tcPr>
            <w:tcW w:w="914" w:type="dxa"/>
            <w:vAlign w:val="center"/>
          </w:tcPr>
          <w:p w14:paraId="185ECEBE"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82E09FF"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69422D3D"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2ACE6071"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4A569C6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bổ sung khái niệm “Thông tin an toàn hàng hải (Maritime Safety Information - MSI) là thông tin cảnh báo hoặc hướng dẫn cần thiết để bảo đảm an toàn cho tàu thuyền.”</w:t>
            </w:r>
          </w:p>
          <w:p w14:paraId="77B9FA1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Lý do: Thuật ngữ này đã được định nghĩa trong Công ước SOLAS 1974 (Chương IV, Quy định 3) nhưng chưa được định nghĩa và hiểu một cách nhất quán trong Luật Hàng hải năm 2015 và các văn bản dưới Luật</w:t>
            </w:r>
          </w:p>
        </w:tc>
        <w:tc>
          <w:tcPr>
            <w:tcW w:w="2793" w:type="dxa"/>
            <w:vAlign w:val="center"/>
          </w:tcPr>
          <w:p w14:paraId="34BC6826" w14:textId="1E264E12"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Đề nghị giữ nguyên như dự thảo do trong dự thảo không xuất hiện khái niệm này.</w:t>
            </w:r>
          </w:p>
        </w:tc>
      </w:tr>
      <w:tr w:rsidR="005E54B6" w:rsidRPr="000F1EC3" w14:paraId="6324E459" w14:textId="77777777" w:rsidTr="001B580E">
        <w:trPr>
          <w:gridAfter w:val="1"/>
          <w:wAfter w:w="8" w:type="dxa"/>
        </w:trPr>
        <w:tc>
          <w:tcPr>
            <w:tcW w:w="914" w:type="dxa"/>
            <w:vAlign w:val="center"/>
          </w:tcPr>
          <w:p w14:paraId="4AA12DF5"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46CEE7E"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02060D20"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w:t>
            </w:r>
            <w:r w:rsidRPr="000F1EC3">
              <w:rPr>
                <w:rFonts w:ascii="Times New Roman" w:hAnsi="Times New Roman"/>
                <w:b/>
                <w:sz w:val="24"/>
              </w:rPr>
              <w:lastRenderedPageBreak/>
              <w:t xml:space="preserve">toàn hàng hải Việt Nam </w:t>
            </w:r>
          </w:p>
          <w:p w14:paraId="3D3244B0"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4C81F96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Đề nghị bổ sung khái niệm “Hệ thống VTS (Vessel Traffic Service) là dịch vụ do cơ quan có thẩm quyền tổ chức nhằm giám sát, hỗ trợ và điều phối giao thông tàu thuyền, góp phần bảo đảm an toàn, hiệu quả hoạt động hàng hải và bảo vệ môi trường.”</w:t>
            </w:r>
          </w:p>
          <w:p w14:paraId="31495FE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Lý do: Đây là một loại dịch vụ hỗ trợ bảo đảm an toàn hàng hải và bảo vệ môi trường đã được định nghĩa và quy định trong SOLAS và IALA ban hành các tiêu chuẩn, hướng dẫn kỹ thuật và là một trong những dịch vụ cốt lõi của hệ thống bảo đảm an toàn hàng hải; dịch vụ này sẽ phát triển rất mạnh trong thời gian tới, nó không chỉ sử dụng trong các vùng nước cảng biển mà còn trên các tuyến hàng hải, trên vùng biển có mật độ giao thông cáo; đặc biệt là gắn với chuyển đổi số, e-Navigation trong ngành hàng hải nhưng chưa được quy định trong Luật để sử dụng thống nhất.</w:t>
            </w:r>
          </w:p>
        </w:tc>
        <w:tc>
          <w:tcPr>
            <w:tcW w:w="2793" w:type="dxa"/>
            <w:vAlign w:val="center"/>
          </w:tcPr>
          <w:p w14:paraId="66F1BE78" w14:textId="3E8DD4E4"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 xml:space="preserve">Đề nghị giữ nguyên như dự thảo do trong dự thảo </w:t>
            </w:r>
            <w:r w:rsidRPr="000F1EC3">
              <w:rPr>
                <w:rFonts w:ascii="Times New Roman" w:hAnsi="Times New Roman"/>
                <w:sz w:val="24"/>
              </w:rPr>
              <w:lastRenderedPageBreak/>
              <w:t>không xuất hiện khái niệm này.</w:t>
            </w:r>
          </w:p>
        </w:tc>
      </w:tr>
      <w:tr w:rsidR="005E54B6" w:rsidRPr="000F1EC3" w14:paraId="7806F876" w14:textId="77777777" w:rsidTr="001B580E">
        <w:trPr>
          <w:gridAfter w:val="1"/>
          <w:wAfter w:w="8" w:type="dxa"/>
        </w:trPr>
        <w:tc>
          <w:tcPr>
            <w:tcW w:w="914" w:type="dxa"/>
            <w:vAlign w:val="center"/>
          </w:tcPr>
          <w:p w14:paraId="1959139C"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09520305"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Điều 2</w:t>
            </w:r>
          </w:p>
        </w:tc>
        <w:tc>
          <w:tcPr>
            <w:tcW w:w="1620" w:type="dxa"/>
            <w:vAlign w:val="center"/>
          </w:tcPr>
          <w:p w14:paraId="2A4A84E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Điện Biên (văn bản số 2247/SXD-QLVT&amp;ATGT ngày 11/5/2026)</w:t>
            </w:r>
          </w:p>
        </w:tc>
        <w:tc>
          <w:tcPr>
            <w:tcW w:w="8872" w:type="dxa"/>
            <w:vAlign w:val="center"/>
          </w:tcPr>
          <w:p w14:paraId="07D93A3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cơ quan soạn thảo chỉnh sửa như sau để bảo đảm chính xác: “Bộ luật này áp dụng đối với các cơ quan, tổ chức, cá nhân Việt Nam; cơ quan, tổ chức, cá nhân nước ngoài liên quan đến hoạt động hàng hải, giao thông đường thủy nội địa tại Việt Nam.”</w:t>
            </w:r>
          </w:p>
        </w:tc>
        <w:tc>
          <w:tcPr>
            <w:tcW w:w="2793" w:type="dxa"/>
            <w:vAlign w:val="center"/>
          </w:tcPr>
          <w:p w14:paraId="339BB8A2" w14:textId="1047C2CB"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giữ nguyên như dự thảo do đã đảm bảo đẩy đủ các đối tượng điều chỉnh.</w:t>
            </w:r>
          </w:p>
        </w:tc>
      </w:tr>
      <w:tr w:rsidR="005E54B6" w:rsidRPr="000F1EC3" w14:paraId="40758C38" w14:textId="77777777" w:rsidTr="001B580E">
        <w:trPr>
          <w:gridAfter w:val="1"/>
          <w:wAfter w:w="8" w:type="dxa"/>
        </w:trPr>
        <w:tc>
          <w:tcPr>
            <w:tcW w:w="914" w:type="dxa"/>
            <w:vAlign w:val="center"/>
          </w:tcPr>
          <w:p w14:paraId="3E76D05C"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6F243F3F"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Điều 3</w:t>
            </w:r>
          </w:p>
        </w:tc>
        <w:tc>
          <w:tcPr>
            <w:tcW w:w="1620" w:type="dxa"/>
            <w:vAlign w:val="center"/>
          </w:tcPr>
          <w:p w14:paraId="5C9B4E51"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Bộ Nội vụ (văn bản số 4525/BNV-PC ngày 12/5/2025)</w:t>
            </w:r>
          </w:p>
        </w:tc>
        <w:tc>
          <w:tcPr>
            <w:tcW w:w="8872" w:type="dxa"/>
            <w:vAlign w:val="center"/>
          </w:tcPr>
          <w:p w14:paraId="4D187223" w14:textId="212B7616"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rà soát bỏ hoặc sử dụng từ ngữ khác thay cho từ "tiền công" tại dự thảo Luật (Điều 3, Điều 82, Điều 83, Điều 84, Điều 108, Điều 120, Điều 166, Điều 167,...) cho phù hợp, vì theo Bộ luật Lao động năm 2019 và các văn bản hướng dẫn hiện hành thì không còn khái niệm "tiền công</w:t>
            </w:r>
            <w:r w:rsidR="0081493C" w:rsidRPr="000F1EC3">
              <w:rPr>
                <w:rFonts w:ascii="Times New Roman" w:hAnsi="Times New Roman"/>
                <w:sz w:val="24"/>
              </w:rPr>
              <w:t>”</w:t>
            </w:r>
          </w:p>
        </w:tc>
        <w:tc>
          <w:tcPr>
            <w:tcW w:w="2793" w:type="dxa"/>
            <w:vAlign w:val="center"/>
          </w:tcPr>
          <w:p w14:paraId="3DDF7418" w14:textId="3EABD2D2"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Tiếp thu, sửa thành chi phí.</w:t>
            </w:r>
          </w:p>
        </w:tc>
      </w:tr>
      <w:tr w:rsidR="005E54B6" w:rsidRPr="000F1EC3" w14:paraId="4653F0EF" w14:textId="77777777" w:rsidTr="001B580E">
        <w:trPr>
          <w:gridAfter w:val="1"/>
          <w:wAfter w:w="8" w:type="dxa"/>
        </w:trPr>
        <w:tc>
          <w:tcPr>
            <w:tcW w:w="914" w:type="dxa"/>
            <w:vAlign w:val="center"/>
          </w:tcPr>
          <w:p w14:paraId="78910F77"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00B413D" w14:textId="77777777" w:rsidR="005E54B6" w:rsidRPr="000F1EC3" w:rsidRDefault="005E54B6" w:rsidP="005E54B6">
            <w:pPr>
              <w:spacing w:before="20" w:after="20"/>
              <w:jc w:val="center"/>
              <w:rPr>
                <w:rFonts w:ascii="Times New Roman" w:hAnsi="Times New Roman"/>
                <w:b/>
                <w:sz w:val="24"/>
              </w:rPr>
            </w:pPr>
          </w:p>
        </w:tc>
        <w:tc>
          <w:tcPr>
            <w:tcW w:w="1620" w:type="dxa"/>
            <w:vAlign w:val="center"/>
          </w:tcPr>
          <w:p w14:paraId="7AD2A87C"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Bộ NNMT (văn bản số 4798/BNNMT-PC ngày 13/5/2026)</w:t>
            </w:r>
          </w:p>
        </w:tc>
        <w:tc>
          <w:tcPr>
            <w:tcW w:w="8872" w:type="dxa"/>
            <w:vAlign w:val="center"/>
          </w:tcPr>
          <w:p w14:paraId="7E96897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2 Điều 3 dự thảo Bộ luật (Áp dụng pháp luật) đề nghị xem xét nội dung quy định tại khoản này do các hoạt động hàng hải, đường thủy nội địa có ảnh hưởng đến đảm bảo an toàn phòng, chống lũ, bão của hệ thống đê điều và thoát lũ của hệ thống sông, ổn định lòng, bờ, bãi sông, phải đảm bảo các yêu cầu phòng, chống thiên tai để đảm bảo an toàn tính mạng, tài sản của nhân dân, nhà nước nên các hoạt động này phải ưu tiên tuân thủ các Luật Đê điều, Luật Phòng, chống thiên tai.</w:t>
            </w:r>
          </w:p>
        </w:tc>
        <w:tc>
          <w:tcPr>
            <w:tcW w:w="2793" w:type="dxa"/>
            <w:vAlign w:val="center"/>
          </w:tcPr>
          <w:p w14:paraId="70249423" w14:textId="319B6466"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Đề nghị giữ nguyên như dự thảo do nội dung này chỉ áp dụng khi các quy định trong các Luật khác nhau đều cùng điều chỉnh về một nội dung trong hoạt động hàng hải, đường thủy nội địa, đồng thời, cách diễn đạt này cũng được tham khải tại nhiều văn bản luật chuyên ngành. Đối với nội dung liên quan đến lĩnh vực khác, quy định của Bộ luật vẫn yêu cầu tuân thủ quy định </w:t>
            </w:r>
            <w:r w:rsidRPr="000F1EC3">
              <w:rPr>
                <w:rFonts w:ascii="Times New Roman" w:hAnsi="Times New Roman"/>
                <w:sz w:val="24"/>
              </w:rPr>
              <w:lastRenderedPageBreak/>
              <w:t>chuyên ngành đó như đầu tư, xây dựng, bảo vệ môi trường.</w:t>
            </w:r>
          </w:p>
        </w:tc>
      </w:tr>
      <w:tr w:rsidR="005E54B6" w:rsidRPr="000F1EC3" w14:paraId="5D3AA3FB" w14:textId="77777777" w:rsidTr="001B580E">
        <w:trPr>
          <w:gridAfter w:val="1"/>
          <w:wAfter w:w="8" w:type="dxa"/>
        </w:trPr>
        <w:tc>
          <w:tcPr>
            <w:tcW w:w="914" w:type="dxa"/>
            <w:vAlign w:val="center"/>
          </w:tcPr>
          <w:p w14:paraId="43E9E292"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EA5D6E6"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3B3229E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Hội Luật gia Việt Nam (văn bản số 186/HLGVN-NCPL ngày 8/5/2026)</w:t>
            </w:r>
          </w:p>
        </w:tc>
        <w:tc>
          <w:tcPr>
            <w:tcW w:w="8872" w:type="dxa"/>
            <w:vAlign w:val="center"/>
          </w:tcPr>
          <w:p w14:paraId="0E7EF9A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2 Điều 3 quy định: “Trường hợp có sự khác nhau giữa quy định của Bộ luật hàng hải và Đường thủy Việt Nam với quy định của luật khác về cùng một nội dung liên quan đến hoạt động hàng hải, giao thông đường thủy nội địa thì áp dụng quy định của Bộ luật này”. Tuy nhiên “hoạt động hàng hải” là gì chưa được giải thích rõ? Quy định này cần tiếp tục nghiên cứu rất kỹ, bởi lẽ Bộ luật không thể bao trùm toàn bộ các lĩnh vực chuyên ngành, có nhiều lĩnh vực thuộc phạm vi điều chỉnh ưu tiên của luật chuyên ngành khác dễ phát sinh xung đột pháp luật, có nguy cơ ảnh hưởng nguyên tắc thống nhất của hệ thống pháp luật. Ví dụ: Các vấn đề môi trường phải ưu tiên Luật Bảo vệ môi trường; Các vấn đề đầu tư phải áp dụng Luật Đầu tư; Các vấn đề đất đai, giao khu vực biển cần đồng bộ với Luật Đất đai và Luật Tài nguyên, môi trường biển và hải đảo.v.v... Do vậy, đề nghị nghiên cứu sửa theo hướng: “Trường hợp có sự khác nhau giữa Bộ luật này với luật khác về cùng một vấn đề đặc thù hàng hải, đường thủy nội địa thì áp dụng quy định của Bộ luật này; trường hợp luật chuyên ngành khác có quy định cụ thể hơn về môi trường, đầu tư, đất đai, quốc phòng, an ninh, năng lượng và lĩnh vực chuyên ngành khác thì áp dụng luật chuyên ngành đó.”</w:t>
            </w:r>
          </w:p>
          <w:p w14:paraId="383C815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3 Điều 3 về áp dụng pháp luật nước ngoài và trọng tài: Đây là quy định tiến bộ, phù hợp thông lệ quốc tế. Tuy nhiên đối với quy định: “Trong trường hợp Bộ luật này có quy định hoặc các bên có thỏa thuận trong hợp đồng, luật nước ngoài có thể được áp dụng tại Việt Nam đối với quan hệ hợp đồng liên quan đến hoạt động hàng hải, nếu luật đó không trái với các nguyên tắc cơ bản của pháp luật Việt Nam” cần nghiên cứu, cân nhắc kỹ quy định “nếu luật đó không trái với các nguyên tắc cơ bản của pháp luật Việt Nam”, quy định này quá chung chung, rất khó để các bên có khả năng rà soát cả một đạo luật của nước nào nó mà “không trái với các nguyên tắc cơ bản của pháp luật Việt Nam” dẫn đến rủi ro pháp lý rất cao cho các bên giao kết hợp đồng.</w:t>
            </w:r>
          </w:p>
        </w:tc>
        <w:tc>
          <w:tcPr>
            <w:tcW w:w="2793" w:type="dxa"/>
            <w:vAlign w:val="center"/>
          </w:tcPr>
          <w:p w14:paraId="7C2883BB" w14:textId="11C7351E"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1. Đề nghị giữ nguyên như dự thảo do nội dung này chỉ áp dụng khi các quy định trong các Luật khác nhau đều cùng điều chỉnh về một nội dung trong hoạt động hàng hải, đường thủy nội địa, đồng thời, cách diễn đạt này cũng được tham khải tại nhiều văn bản luật chuyên ngành. Đối với nội dung liên quan đến lĩnh vực khác, quy định của Bộ luật vẫn yêu cầu tuân thủ quy định chuyên ngành đó như đầu tư, xây dựng, bảo vệ môi trường.</w:t>
            </w:r>
          </w:p>
          <w:p w14:paraId="043AC23F" w14:textId="793FD1E5"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2. Quy định về quyền thỏa thuận trong hợp đồng được kế thừa từ Điều 5 của Bộ luật hàng hải Việt Nam năm 2015.</w:t>
            </w:r>
          </w:p>
        </w:tc>
      </w:tr>
      <w:tr w:rsidR="005E54B6" w:rsidRPr="000F1EC3" w14:paraId="42E470D0" w14:textId="77777777" w:rsidTr="001B580E">
        <w:trPr>
          <w:gridAfter w:val="1"/>
          <w:wAfter w:w="8" w:type="dxa"/>
        </w:trPr>
        <w:tc>
          <w:tcPr>
            <w:tcW w:w="914" w:type="dxa"/>
            <w:vAlign w:val="center"/>
          </w:tcPr>
          <w:p w14:paraId="2DB1BDC2"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6C992B2"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4E0D7AA0"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76261C4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1. Đề xuất: Đề nghị rà soát Điều 3 theo hướng không quy định quá rộng việc “ưu tiên áp dụng Bộ luật này” nếu có khác biệt với luật khác; cần xác định rõ phạm vi ưu tiên chỉ trong hoạt động hàng hải, đường thủy nội địa chuyên ngành. </w:t>
            </w:r>
          </w:p>
          <w:p w14:paraId="2F18771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Diễn giải: Bộ luật mới phải thống nhất với Luật Ban hành VBQPPL 2025, Luật Đất đai 2024, Luật Giá 2023, Luật Đấu thầu 2023, Luật BVMT 2020, Luật Giao dịch điện tử 2023. Luật Ban hành VBQPPL 2025 nhấn mạnh yêu cầu hệ thống pháp luật thống nhất, đồng bộ, minh bạch. </w:t>
            </w:r>
          </w:p>
          <w:p w14:paraId="589D5AF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2. Đề xuất: Góp ý bổ sung việc thừa nhận các chứng từ điện tử (e-DO, e-Bill) theo tập quán quốc tế để đẩy mạnh số hóa dịch vụ.</w:t>
            </w:r>
          </w:p>
          <w:p w14:paraId="27B8672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3. Đề xuất: Điều 3 và các chương chuyên ngành: Đề nghị tiếp tục rà soát các công ước IMO, SOLAS, MARPOL, STCW, FAL, Rotterdam Rules và quy định về chứng từ điện tử, an toàn, an ninh, môi trường. Diễn giải: Báo cáo rà soát xác định có 89 điều ước quốc tế liên quan; dự thảo đã cơ bản nội luật hóa tiêu chuẩn về an toàn tàu thuyền, bảo vệ môi trường, vận tải biển, trách nhiệm dân sự, giảm phát thải, chuyển đổi năng lượng, dữ liệu. </w:t>
            </w:r>
          </w:p>
          <w:p w14:paraId="685991A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4. Đề xuất: Dựa vào Điều 3; Điều 6 và các điều giao Chính phủ quy định chi tiết: Đề nghị Bộ luật chỉ quy định nguyên tắc ổn định, vấn để kỹ thuật giao Chính phủ Bộ quy định; đồng thời có cơ chế cập nhật nhanh tiêu chuẩn quốc tế về phát thải, số hóa, an ninh mạng, chứng từ điện tử. Diễn giải: Ngành hàng hải thay đổi nhanh do IMO, chuyễn đổi xanh, cảng thông minh, vận đơn điện tử, rào cản carbon. Nếu luật quá chi tiết sẽ nhanh lạc hậu; nếu quá khung mà thiếu tiêu chí thì khó thực thi. Cách phù hợp là luật hóa nguyên tắc, quyền - nghĩa vụ, cơ chế bảo vệ doanh nghiệp và giao văn bản dưới luật cập nhật kỹ thuật.</w:t>
            </w:r>
          </w:p>
        </w:tc>
        <w:tc>
          <w:tcPr>
            <w:tcW w:w="2793" w:type="dxa"/>
            <w:vAlign w:val="center"/>
          </w:tcPr>
          <w:p w14:paraId="5EB2B889" w14:textId="31676E81"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 xml:space="preserve">1. Đề nghị giữ nguyên như dự thảo do nội dung này chỉ áp dụng khi các quy định trong các Luật khác nhau đều cùng điều chỉnh về một nội dung trong hoạt động hàng hải, đường thủy </w:t>
            </w:r>
            <w:r w:rsidRPr="000F1EC3">
              <w:rPr>
                <w:rFonts w:ascii="Times New Roman" w:hAnsi="Times New Roman"/>
                <w:sz w:val="24"/>
              </w:rPr>
              <w:lastRenderedPageBreak/>
              <w:t>nội địa, đồng thời, cách diễn đạt này cũng được tham khải tại nhiều văn bản luật chuyên ngành. Đối với nội dung liên quan đến lĩnh vực khác, quy định của Bộ luật vẫn yêu cầu tuân thủ quy định chuyên ngành đó như đầu tư, xây dựng, bảo vệ môi trường.</w:t>
            </w:r>
          </w:p>
          <w:p w14:paraId="4F3517F2" w14:textId="291AA138"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2. Các nội dung chi tiết liên quan đến chứng từ điện tử dự kiến được quy định tại các văn bản hướng dẫn thi hành.</w:t>
            </w:r>
          </w:p>
        </w:tc>
      </w:tr>
      <w:tr w:rsidR="005E54B6" w:rsidRPr="000F1EC3" w14:paraId="67ED12B8" w14:textId="77777777" w:rsidTr="001B580E">
        <w:trPr>
          <w:gridAfter w:val="1"/>
          <w:wAfter w:w="8" w:type="dxa"/>
        </w:trPr>
        <w:tc>
          <w:tcPr>
            <w:tcW w:w="914" w:type="dxa"/>
            <w:vAlign w:val="center"/>
          </w:tcPr>
          <w:p w14:paraId="50C8A37E"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3C350100"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587429E0"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Khánh Hòa (văn bản số 4773/SXD-QLVT ngày 11/5/2026)</w:t>
            </w:r>
          </w:p>
        </w:tc>
        <w:tc>
          <w:tcPr>
            <w:tcW w:w="8872" w:type="dxa"/>
            <w:vAlign w:val="center"/>
          </w:tcPr>
          <w:p w14:paraId="7B775E2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2 Điều 3: Đề nghị cơ quan soạn thảo điều chỉnh thống nhất tên gọi của Bộ luật: “2. Trường hợp có sự khác nhau giữa quy định của Bộ luật hàng hải và Đường thủy nội địa Việt Nam với quy định của luật khác về cùng một nội dung liên quan đến hoạt động hàng hải, giao thông đường thủy nội địa thì áp dụng quy định của Bộ luật này.”</w:t>
            </w:r>
          </w:p>
        </w:tc>
        <w:tc>
          <w:tcPr>
            <w:tcW w:w="2793" w:type="dxa"/>
            <w:vAlign w:val="center"/>
          </w:tcPr>
          <w:p w14:paraId="2D63C799" w14:textId="6B715F5C"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1. Đề nghị giữ nguyên như dự thảo do nội dung này chỉ áp dụng khi các quy định trong các Luật khác nhau đều cùng điều chỉnh về một nội dung trong hoạt động hàng hải, đường thủy nội địa, đồng thời, cách diễn đạt này cũng được tham khải tại nhiều văn bản luật chuyên ngành. Đối với nội dung liên quan đến lĩnh vực khác, quy định của Bộ luật vẫn yêu cầu tuân thủ quy định chuyên ngành đó như đầu tư, xây dựng, bảo vệ môi trường.</w:t>
            </w:r>
          </w:p>
        </w:tc>
      </w:tr>
      <w:tr w:rsidR="005E54B6" w:rsidRPr="000F1EC3" w14:paraId="2EAE118A" w14:textId="77777777" w:rsidTr="001B580E">
        <w:trPr>
          <w:gridAfter w:val="1"/>
          <w:wAfter w:w="8" w:type="dxa"/>
        </w:trPr>
        <w:tc>
          <w:tcPr>
            <w:tcW w:w="914" w:type="dxa"/>
            <w:vAlign w:val="center"/>
          </w:tcPr>
          <w:p w14:paraId="0CF40A64"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93F673D"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60683885"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Tây Ninh (văn bản số 106/DBQH-CTQH ngày 13/5/2026)</w:t>
            </w:r>
          </w:p>
        </w:tc>
        <w:tc>
          <w:tcPr>
            <w:tcW w:w="8872" w:type="dxa"/>
            <w:vAlign w:val="center"/>
          </w:tcPr>
          <w:p w14:paraId="194D2A5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Tại khoản 2 Điều 3 dự thảo Luật quy định: “2. Trường hợp có sự khác nhau giữa quy định của Bộ luật hàng hải và Đường thủy Việt Nam với quy định của luật khác về cùng một nội dung liên quan đến hoạt động hàng hải, giao thông đường thủy nội địa thì áp dụng quy định của Bộ luật này.” </w:t>
            </w:r>
          </w:p>
          <w:p w14:paraId="405E5E9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Ban soạn thảo tiếp tục rà soát quy định này để bảo đảm thống nhất với các luật có liên quan, phù hợp với nguyên tắc áp dụng pháp luật và thẩm quyền quy định trong hệ thống pháp luật hiện hành. Đồng thời, cần cân nhắc kỹ việc áp dụng nguyên tắc ưu tiên trong mối quan hệ với luật chuyên ngành và thời điểm ban hành luật, tránh phát sinh chồng chéo hoặc khó khăn trong quá trình thực thi.</w:t>
            </w:r>
          </w:p>
          <w:p w14:paraId="7F60956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Bên cạnh đó, quy định cần bảo đảm tính đồng bộ với các luật có liên quan như Luật Đầu tư, Luật Xây dựng và Luật Bảo vệ môi trường, nhất là trong quá trình triển khai các dự án hạ tầng hàng hải và giao thông đường thủy nội địa.</w:t>
            </w:r>
          </w:p>
        </w:tc>
        <w:tc>
          <w:tcPr>
            <w:tcW w:w="2793" w:type="dxa"/>
            <w:vAlign w:val="center"/>
          </w:tcPr>
          <w:p w14:paraId="3750B7F5" w14:textId="25F8F355"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giữ nguyên như dự thảo do nội dung này chỉ áp dụng khi các quy định trong các Luật khác nhau đều cùng điều chỉnh về một nội dung trong hoạt động hàng hải, đường thủy nội địa, đồng thời, cách diễn đạt này cũng được tham khải tại nhiều văn bản luật chuyên ngành. Đối với nội dung liên quan đến lĩnh vực khác, quy định của Bộ luật vẫn yêu cầu tuân thủ quy định chuyên ngành đó như đầu tư, xây dựng, bảo vệ môi trường.</w:t>
            </w:r>
          </w:p>
        </w:tc>
      </w:tr>
      <w:tr w:rsidR="005E54B6" w:rsidRPr="000F1EC3" w14:paraId="75D2BC13" w14:textId="77777777" w:rsidTr="001B580E">
        <w:trPr>
          <w:gridAfter w:val="1"/>
          <w:wAfter w:w="8" w:type="dxa"/>
        </w:trPr>
        <w:tc>
          <w:tcPr>
            <w:tcW w:w="914" w:type="dxa"/>
            <w:vAlign w:val="center"/>
          </w:tcPr>
          <w:p w14:paraId="66E3A54F"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4649C128"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1684063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Gia Lai (văn bản số 3648/SXD-GT ngày 11/5/2026)</w:t>
            </w:r>
          </w:p>
        </w:tc>
        <w:tc>
          <w:tcPr>
            <w:tcW w:w="8872" w:type="dxa"/>
            <w:vAlign w:val="center"/>
          </w:tcPr>
          <w:p w14:paraId="61EFD21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2 Điều 3 quy định “Trường hợp có sự khác nhau giữa quy định của Bộ luật hàng hải và Đường thủy Việt Nam với quy định của luật khác về cùng một nội dung liên quan đến hoạt động hàng hải, giao thông đường thủy nội địa thì áp dụng quy định của Bộ luật này”. Tuy nhiên, theo nguyên tắc áp dụng pháp luật tại Điều 58 Luật Ban hành văn bản quy phạm pháp luật thì “Trường hợp các văn bản quy phạm pháp luật có quy định khác nhau về cùng một vấn đề thì áp dụng văn bản có hiệu lực pháp lý cao hơn.” (khoản 3) và “Trường hợp các văn bản quy phạm pháp luật do cùng một cơ quan ban hành có quy định khác nhau về cùng một vấn đề thì áp dụng quy định của văn bản quy phạm pháp luật ban hành sau” (khoản 4). Do vậy, để đảm bảo phù hợp với quy định của Luật Ban hành văn bản quy phạm pháp luật, đề nghị cơ quan soạn thảo cân nhắc, chỉnh sửa bổ sung cho phù hợp</w:t>
            </w:r>
          </w:p>
        </w:tc>
        <w:tc>
          <w:tcPr>
            <w:tcW w:w="2793" w:type="dxa"/>
            <w:vAlign w:val="center"/>
          </w:tcPr>
          <w:p w14:paraId="485B68DD" w14:textId="26036B22"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Đề nghị giữ nguyên như dự thảo do nội dung này chỉ áp dụng khi các quy định trong các Luật khác nhau đều cùng điều chỉnh về một nội dung trong hoạt động hàng hải, đường thủy nội địa, đồng thời, cách diễn đạt này cũng được tham khải tại nhiều văn bản luật chuyên ngành. Đối với nội dung liên quan đến lĩnh vực khác, quy định của Bộ luật vẫn yêu cầu tuân thủ quy định chuyên ngành đó như đầu </w:t>
            </w:r>
            <w:r w:rsidRPr="000F1EC3">
              <w:rPr>
                <w:rFonts w:ascii="Times New Roman" w:hAnsi="Times New Roman"/>
                <w:sz w:val="24"/>
              </w:rPr>
              <w:lastRenderedPageBreak/>
              <w:t>tư, xây dựng, bảo vệ môi trường.</w:t>
            </w:r>
          </w:p>
        </w:tc>
      </w:tr>
      <w:tr w:rsidR="005E54B6" w:rsidRPr="000F1EC3" w14:paraId="43C422E7" w14:textId="77777777" w:rsidTr="001B580E">
        <w:trPr>
          <w:gridAfter w:val="1"/>
          <w:wAfter w:w="8" w:type="dxa"/>
        </w:trPr>
        <w:tc>
          <w:tcPr>
            <w:tcW w:w="914" w:type="dxa"/>
            <w:vAlign w:val="center"/>
          </w:tcPr>
          <w:p w14:paraId="30862448"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52AAFE8"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71AB114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Trường ĐHGTVT TP HCM (văn bản số 260511-02/CV-UTH-MLP ngày 11/5/2026)</w:t>
            </w:r>
          </w:p>
        </w:tc>
        <w:tc>
          <w:tcPr>
            <w:tcW w:w="8872" w:type="dxa"/>
            <w:vAlign w:val="center"/>
          </w:tcPr>
          <w:p w14:paraId="4AC29AE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Điều 3 của Dự thảo mới quy định khái quát về áp dụng pháp luật và tập quán hàng hải quốc tế nhưng chưa có cơ chể rõ ràng đổi với giạo dịch điện tử trong hoạt động hàng hải. Trong bối cảnh Tổ chức Hàng hải quốc tế (IMO) và nhiều quốc gia đã công nhận vận đơn điện tử và Dự thảo đã bổ sung quy định về chứng từ điện tử và vận đơn điện tử tại Điều 102 và Điều 103. Tuy nhiên, cần bổ sung, hoàn thiện các quy định về nguyên tắc áp dụng pháp luật đối với chứng từ điện tử hàng hải có yếu tố nước ngoài; cơ chế công nhận tập quán hàng hải quốc tế, nền tảng giao dịch điện tử quốc tế và giá trị chứng cứ của dữ liệu điện tử trong giải quyết tranh chấp hàng hải, cụ thể: “Đối với chứng từ điện tử, vận đơn điện tử, hợp đồng điện tử và dữ liệu điện tử phát sinh trong hoạt động hàng hải có yếu tố nước ngoài, việc xác định giá trị pháp lý, luật áp dụng và công nhận tập quán hàng hải quốc tế được thực hiện theo quy định của Bộ luật này, pháp luật về giao dịch điện tử, điều ước quốc tế mà nước Cộng hòa xã hội chủ nghĩa Việt Nam là thành viên và tập quán hàng hải quốc tế, nếu không trái với các nguyên tắc cơ bản của pháp luật Việt Nam</w:t>
            </w:r>
          </w:p>
        </w:tc>
        <w:tc>
          <w:tcPr>
            <w:tcW w:w="2793" w:type="dxa"/>
            <w:vAlign w:val="center"/>
          </w:tcPr>
          <w:p w14:paraId="26BD35C2" w14:textId="2D6E7DD1"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Nội dung cụ thể về chứng từ điện tử, vận đơn điện tử được dự kiến quy định tại các văn bản hướng dẫn thực hiện Bộ luât.</w:t>
            </w:r>
          </w:p>
        </w:tc>
      </w:tr>
      <w:tr w:rsidR="005E54B6" w:rsidRPr="000F1EC3" w14:paraId="719DEFAF" w14:textId="77777777" w:rsidTr="001B580E">
        <w:trPr>
          <w:gridAfter w:val="1"/>
          <w:wAfter w:w="8" w:type="dxa"/>
        </w:trPr>
        <w:tc>
          <w:tcPr>
            <w:tcW w:w="914" w:type="dxa"/>
            <w:vAlign w:val="center"/>
          </w:tcPr>
          <w:p w14:paraId="567BC013"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4846FAB"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47BCD9F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3303F48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2 quy định “Trường hợp có sự khác nhau giữa quy định của Bộ luật này với luật khác thì áp dụng Bộ luật này” là chưa chặt chẽ, đề nghị chỉnh lý theo hướng: “Trường hợp có quy định khác nhau giữa Bộ luật này và luật khác về cùng một vấn đề chuyên ngành hàng hải, giao thông đường thủy nội địa thì áp dụng quy định của Bộ luật này, trừ trường hợp luật khác được ban hành sau và quy định cụ thể khác”. Quy định như vậy sẽ bảo đảm tính linh hoạt và phù hợp nguyên tắc áp dụng văn bản quy phạm pháp luật. Tại khoản 3 (Áp dụng pháp luật - hợp đồng hàng hải có yếu tố nước ngoài). Đề nghị mở rộng quyền chọn pháp luật điều chỉnh sang cả hợp đồng vận tải đường thủy nội địa có yếu tố nước ngoài (tàu nước ngoài hoạt động trên đường thủy nội địa Việt Nam), không chỉ giới hạn trong “hoạt động hàng hải”</w:t>
            </w:r>
          </w:p>
        </w:tc>
        <w:tc>
          <w:tcPr>
            <w:tcW w:w="2793" w:type="dxa"/>
            <w:vAlign w:val="center"/>
          </w:tcPr>
          <w:p w14:paraId="39C91100" w14:textId="0161845F"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Đề nghị giữ nguyên như dự thảo do nội dung này chỉ áp dụng khi các quy định trong các Luật khác nhau đều cùng điều chỉnh về một nội dung trong hoạt động hàng hải, đường thủy nội địa, đồng thời, cách diễn đạt này cũng được tham khải tại nhiều văn bản luật chuyên ngành. Đối với nội dung liên quan đến lĩnh vực khác, quy định của Bộ luật vẫn yêu cầu tuân thủ quy định chuyên ngành đó như đầu tư, xây dựng, bảo vệ môi trường.</w:t>
            </w:r>
          </w:p>
        </w:tc>
      </w:tr>
      <w:tr w:rsidR="005E54B6" w:rsidRPr="000F1EC3" w14:paraId="34E7BA23" w14:textId="77777777" w:rsidTr="001B580E">
        <w:trPr>
          <w:gridAfter w:val="1"/>
          <w:wAfter w:w="8" w:type="dxa"/>
        </w:trPr>
        <w:tc>
          <w:tcPr>
            <w:tcW w:w="914" w:type="dxa"/>
            <w:vAlign w:val="center"/>
          </w:tcPr>
          <w:p w14:paraId="5300FFBD"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85FD68A" w14:textId="77777777" w:rsidR="005E54B6" w:rsidRPr="000F1EC3" w:rsidRDefault="005E54B6" w:rsidP="005E54B6">
            <w:pPr>
              <w:spacing w:before="20" w:after="20"/>
              <w:jc w:val="center"/>
              <w:rPr>
                <w:rFonts w:ascii="Times New Roman" w:hAnsi="Times New Roman"/>
                <w:sz w:val="24"/>
              </w:rPr>
            </w:pPr>
          </w:p>
        </w:tc>
        <w:tc>
          <w:tcPr>
            <w:tcW w:w="1620" w:type="dxa"/>
            <w:vAlign w:val="center"/>
          </w:tcPr>
          <w:p w14:paraId="3FB66704"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539ADA1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76ADBC2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bổ sung khái niệm “Dữ liệu thủy đạc là tập hợp thông tin, số liệu và dữ liệu số thu được từ hoạt động khảo sát thủy đạc, phản ánh đặc điểm hình thái đáy biển, độ sâu, chướng ngại vật dưới nước, đặc điểm bờ biển, các yếu tố khí tượng thuỷ văn biển và các yếu tố tự nhiên khác liên quan, được sử dụng để bảo đảm an toàn hàng hải, thành lập và cập nhật hải đồ, cũng như phục vụ quản lý và khai thác vùng biển.”</w:t>
            </w:r>
          </w:p>
          <w:p w14:paraId="02184AE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Lý do: Trong thời đại 4.0, e-Navigation, hành hải tự động, </w:t>
            </w:r>
            <w:r w:rsidRPr="000F1EC3">
              <w:rPr>
                <w:rFonts w:ascii="Times New Roman" w:hAnsi="Times New Roman"/>
                <w:b/>
                <w:bCs/>
                <w:i/>
                <w:iCs/>
                <w:sz w:val="24"/>
              </w:rPr>
              <w:t xml:space="preserve">Dữ liệu thủy đạc </w:t>
            </w:r>
            <w:r w:rsidRPr="000F1EC3">
              <w:rPr>
                <w:rFonts w:ascii="Times New Roman" w:hAnsi="Times New Roman"/>
                <w:sz w:val="24"/>
              </w:rPr>
              <w:t>cực kỳ quan trọng để hành hải và quản lý hoạt động hàng hải. Vì vậy cần có một cách hiểu nhất quán mang tính pháp lý cao; ngoài ra, dữ liệu thủy đạc là thành phần cốt lõi của an toàn hàng hải đã được quy định trong SOLAS. Dữ liệu thủy đạc không chỉ phục vụ cho an toàn hàng hải mà còn phục vụ cho: an ninh quốc phòng, quy hoạch không gian biển, bảo vệ chủ quyền… Nếu không có định nghĩa pháp lý rõ ràng trong Luật Hàng hải và đường thủy nội địa thì rất khó xây dựng quy định về chia sẻ dữ liệu; cơ sở dữ liệu số; chuẩn dữ liệu; phân quyền khai thác; cơ chế bảo mật; quản trị dữ liệu. Trong khi, dự thảo luật đang hướng tới: cơ sở dữ liệu hàng hải quốc gia; chuyển đổi số; dữ liệu dùng chung; kết nối dữ liệu quốc gia.</w:t>
            </w:r>
          </w:p>
        </w:tc>
        <w:tc>
          <w:tcPr>
            <w:tcW w:w="2793" w:type="dxa"/>
            <w:vAlign w:val="center"/>
          </w:tcPr>
          <w:p w14:paraId="78FD9FC8" w14:textId="0F75F40F"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giữ nguyên như dự thảo do trong toàn dự thảo không xuất hiện khái niệm này.</w:t>
            </w:r>
          </w:p>
        </w:tc>
      </w:tr>
      <w:tr w:rsidR="00845D33" w:rsidRPr="000F1EC3" w14:paraId="148E5C70" w14:textId="77777777" w:rsidTr="001B580E">
        <w:trPr>
          <w:gridAfter w:val="1"/>
          <w:wAfter w:w="8" w:type="dxa"/>
        </w:trPr>
        <w:tc>
          <w:tcPr>
            <w:tcW w:w="914" w:type="dxa"/>
            <w:vMerge w:val="restart"/>
            <w:vAlign w:val="center"/>
          </w:tcPr>
          <w:p w14:paraId="38DCB2A6" w14:textId="77777777" w:rsidR="00845D33" w:rsidRPr="00845D33" w:rsidRDefault="00845D33" w:rsidP="00845D33">
            <w:pPr>
              <w:pStyle w:val="ListParagraph"/>
              <w:numPr>
                <w:ilvl w:val="0"/>
                <w:numId w:val="19"/>
              </w:numPr>
              <w:spacing w:before="20" w:after="20"/>
              <w:rPr>
                <w:rFonts w:ascii="Times New Roman" w:hAnsi="Times New Roman"/>
                <w:b/>
                <w:bCs/>
                <w:sz w:val="24"/>
              </w:rPr>
            </w:pPr>
          </w:p>
        </w:tc>
        <w:tc>
          <w:tcPr>
            <w:tcW w:w="992" w:type="dxa"/>
            <w:vMerge w:val="restart"/>
            <w:vAlign w:val="center"/>
          </w:tcPr>
          <w:p w14:paraId="05BE4D4B" w14:textId="77777777" w:rsidR="00845D33" w:rsidRPr="000F1EC3" w:rsidRDefault="00845D33" w:rsidP="005E54B6">
            <w:pPr>
              <w:spacing w:before="20" w:after="20"/>
              <w:jc w:val="center"/>
              <w:rPr>
                <w:rFonts w:ascii="Times New Roman" w:hAnsi="Times New Roman"/>
                <w:b/>
                <w:bCs/>
                <w:sz w:val="24"/>
              </w:rPr>
            </w:pPr>
            <w:r w:rsidRPr="000F1EC3">
              <w:rPr>
                <w:rFonts w:ascii="Times New Roman" w:hAnsi="Times New Roman"/>
                <w:b/>
                <w:bCs/>
                <w:sz w:val="24"/>
              </w:rPr>
              <w:t>Điều 4</w:t>
            </w:r>
          </w:p>
        </w:tc>
        <w:tc>
          <w:tcPr>
            <w:tcW w:w="1620" w:type="dxa"/>
            <w:vAlign w:val="center"/>
          </w:tcPr>
          <w:p w14:paraId="70A7F88E" w14:textId="77777777" w:rsidR="00845D33" w:rsidRPr="000F1EC3" w:rsidRDefault="00845D33" w:rsidP="005E54B6">
            <w:pPr>
              <w:spacing w:before="20" w:after="20"/>
              <w:jc w:val="center"/>
              <w:rPr>
                <w:rFonts w:ascii="Times New Roman" w:hAnsi="Times New Roman"/>
                <w:b/>
                <w:bCs/>
                <w:sz w:val="24"/>
              </w:rPr>
            </w:pPr>
            <w:r w:rsidRPr="000F1EC3">
              <w:rPr>
                <w:rFonts w:ascii="Times New Roman" w:hAnsi="Times New Roman"/>
                <w:b/>
                <w:bCs/>
                <w:sz w:val="24"/>
              </w:rPr>
              <w:t>Sở Xây dựng Ninh Bình (Văn bản số 4097/SXD-CVĐTNĐ ngày 08/5/2026)</w:t>
            </w:r>
          </w:p>
        </w:tc>
        <w:tc>
          <w:tcPr>
            <w:tcW w:w="8872" w:type="dxa"/>
            <w:vAlign w:val="center"/>
          </w:tcPr>
          <w:p w14:paraId="76F75645" w14:textId="77777777" w:rsidR="00845D33" w:rsidRPr="000F1EC3" w:rsidRDefault="00845D33" w:rsidP="005E54B6">
            <w:pPr>
              <w:shd w:val="clear" w:color="auto" w:fill="FFFFFF"/>
              <w:spacing w:before="20" w:after="20"/>
              <w:jc w:val="both"/>
              <w:rPr>
                <w:rFonts w:ascii="Times New Roman" w:hAnsi="Times New Roman"/>
                <w:sz w:val="24"/>
              </w:rPr>
            </w:pPr>
            <w:r w:rsidRPr="000F1EC3">
              <w:rPr>
                <w:rFonts w:ascii="Times New Roman" w:hAnsi="Times New Roman"/>
                <w:b/>
                <w:bCs/>
                <w:sz w:val="24"/>
              </w:rPr>
              <w:t xml:space="preserve">Khoản 1: </w:t>
            </w:r>
            <w:r w:rsidRPr="000F1EC3">
              <w:rPr>
                <w:rFonts w:ascii="Times New Roman" w:hAnsi="Times New Roman"/>
                <w:sz w:val="24"/>
              </w:rPr>
              <w:t xml:space="preserve">Nên sửa thành “Tàu thuyền là phương tiện hoạt động trên mặt nước hoặc dưới mặt nước bao gồm tàu, thuyền, </w:t>
            </w:r>
            <w:r w:rsidRPr="000F1EC3">
              <w:rPr>
                <w:rFonts w:ascii="Times New Roman" w:hAnsi="Times New Roman"/>
                <w:b/>
                <w:sz w:val="24"/>
              </w:rPr>
              <w:t>bè</w:t>
            </w:r>
            <w:r w:rsidRPr="000F1EC3">
              <w:rPr>
                <w:rFonts w:ascii="Times New Roman" w:hAnsi="Times New Roman"/>
                <w:sz w:val="24"/>
              </w:rPr>
              <w:t xml:space="preserve"> và các phương tiện khác có động cơ hoặc không có động cơ”</w:t>
            </w:r>
          </w:p>
        </w:tc>
        <w:tc>
          <w:tcPr>
            <w:tcW w:w="2793" w:type="dxa"/>
            <w:vAlign w:val="center"/>
          </w:tcPr>
          <w:p w14:paraId="09B58A7C" w14:textId="665A8A56" w:rsidR="00845D33" w:rsidRPr="000F1EC3" w:rsidRDefault="00845D33" w:rsidP="005E54B6">
            <w:pPr>
              <w:spacing w:before="20" w:after="20"/>
              <w:jc w:val="center"/>
              <w:rPr>
                <w:rFonts w:ascii="Times New Roman" w:hAnsi="Times New Roman"/>
                <w:sz w:val="24"/>
              </w:rPr>
            </w:pPr>
            <w:r w:rsidRPr="000F1EC3">
              <w:rPr>
                <w:rFonts w:ascii="Times New Roman" w:hAnsi="Times New Roman"/>
                <w:sz w:val="24"/>
              </w:rPr>
              <w:t>Tiếp thu, chỉnh sửa</w:t>
            </w:r>
          </w:p>
        </w:tc>
      </w:tr>
      <w:tr w:rsidR="00845D33" w:rsidRPr="000F1EC3" w14:paraId="20A93272" w14:textId="77777777" w:rsidTr="001B580E">
        <w:trPr>
          <w:gridAfter w:val="1"/>
          <w:wAfter w:w="8" w:type="dxa"/>
        </w:trPr>
        <w:tc>
          <w:tcPr>
            <w:tcW w:w="914" w:type="dxa"/>
            <w:vMerge/>
            <w:vAlign w:val="center"/>
          </w:tcPr>
          <w:p w14:paraId="347D00AA" w14:textId="77777777" w:rsidR="00845D33" w:rsidRPr="000F1EC3" w:rsidRDefault="00845D33" w:rsidP="005E54B6">
            <w:pPr>
              <w:spacing w:before="20" w:after="20"/>
              <w:rPr>
                <w:rFonts w:ascii="Times New Roman" w:hAnsi="Times New Roman"/>
                <w:b/>
                <w:bCs/>
                <w:sz w:val="24"/>
              </w:rPr>
            </w:pPr>
          </w:p>
        </w:tc>
        <w:tc>
          <w:tcPr>
            <w:tcW w:w="992" w:type="dxa"/>
            <w:vMerge/>
            <w:vAlign w:val="center"/>
          </w:tcPr>
          <w:p w14:paraId="3A8F5AA4" w14:textId="77777777" w:rsidR="00845D33" w:rsidRPr="000F1EC3" w:rsidRDefault="00845D33" w:rsidP="005E54B6">
            <w:pPr>
              <w:spacing w:before="20" w:after="20"/>
              <w:jc w:val="center"/>
              <w:rPr>
                <w:rFonts w:ascii="Times New Roman" w:hAnsi="Times New Roman"/>
                <w:b/>
                <w:bCs/>
                <w:sz w:val="24"/>
              </w:rPr>
            </w:pPr>
          </w:p>
        </w:tc>
        <w:tc>
          <w:tcPr>
            <w:tcW w:w="1620" w:type="dxa"/>
            <w:vAlign w:val="center"/>
          </w:tcPr>
          <w:p w14:paraId="28951A19" w14:textId="77777777" w:rsidR="00845D33" w:rsidRPr="000F1EC3" w:rsidRDefault="00845D33" w:rsidP="005E54B6">
            <w:pPr>
              <w:spacing w:before="20" w:after="20"/>
              <w:jc w:val="center"/>
              <w:rPr>
                <w:rFonts w:ascii="Times New Roman" w:hAnsi="Times New Roman"/>
                <w:b/>
                <w:bCs/>
                <w:sz w:val="24"/>
              </w:rPr>
            </w:pPr>
            <w:r w:rsidRPr="000F1EC3">
              <w:rPr>
                <w:rFonts w:ascii="Times New Roman" w:hAnsi="Times New Roman"/>
                <w:b/>
                <w:bCs/>
                <w:sz w:val="24"/>
              </w:rPr>
              <w:t>Sở Xây dựng Gia Lai (văn bản số 3648/SXD-GT ngày 11/5/2026)</w:t>
            </w:r>
          </w:p>
        </w:tc>
        <w:tc>
          <w:tcPr>
            <w:tcW w:w="8872" w:type="dxa"/>
            <w:vAlign w:val="center"/>
          </w:tcPr>
          <w:p w14:paraId="7B1706B9" w14:textId="77777777" w:rsidR="00845D33" w:rsidRPr="000F1EC3" w:rsidRDefault="00845D33" w:rsidP="005E54B6">
            <w:pPr>
              <w:shd w:val="clear" w:color="auto" w:fill="FFFFFF"/>
              <w:spacing w:before="20" w:after="20"/>
              <w:jc w:val="both"/>
              <w:rPr>
                <w:rFonts w:ascii="Times New Roman" w:hAnsi="Times New Roman"/>
                <w:b/>
                <w:bCs/>
                <w:sz w:val="24"/>
              </w:rPr>
            </w:pPr>
            <w:r w:rsidRPr="000F1EC3">
              <w:rPr>
                <w:rFonts w:ascii="Times New Roman" w:hAnsi="Times New Roman"/>
                <w:sz w:val="24"/>
              </w:rPr>
              <w:t>- Về Khu neo đậu: Theo Hồ sơ dự án Bộ luật Hàng hải và Đường thủy nội địa Việt Nam (sửa đổi) tại khoản 30 Điều 4 có giải thích từ ngữ về Khu neo đậu nhưng đi vào nội dung chi tiết quy định tại các Điều trong Bộ luật thì chưa có quy định cụ thể đối với Khu neo đậu, do đó đề nghị bổ sung các quy định về Khu neo đậu để có cơ sở quản lý về thỏa thuận, chấp thuận, đặt tên, công bố hoạt động</w:t>
            </w:r>
          </w:p>
        </w:tc>
        <w:tc>
          <w:tcPr>
            <w:tcW w:w="2793" w:type="dxa"/>
            <w:vAlign w:val="center"/>
          </w:tcPr>
          <w:p w14:paraId="3D69D8A6" w14:textId="0DA7E577" w:rsidR="00845D33" w:rsidRPr="000F1EC3" w:rsidRDefault="00845D33" w:rsidP="0081493C">
            <w:pPr>
              <w:spacing w:before="20" w:after="20"/>
              <w:jc w:val="both"/>
              <w:rPr>
                <w:rFonts w:ascii="Times New Roman" w:hAnsi="Times New Roman"/>
                <w:sz w:val="24"/>
              </w:rPr>
            </w:pPr>
            <w:r w:rsidRPr="000F1EC3">
              <w:rPr>
                <w:rFonts w:ascii="Times New Roman" w:hAnsi="Times New Roman"/>
                <w:sz w:val="24"/>
              </w:rPr>
              <w:t xml:space="preserve">Đề nghị giữ nguyên như dự thảo, các quy định về thỏa thuận, chấp thuận, đặt tên, công bố hoạt động kết cáu hạ tầng cụ thể sẽ được cụ thể hóa tại các văn bản hướng dẫn thực hiện. </w:t>
            </w:r>
          </w:p>
        </w:tc>
      </w:tr>
      <w:tr w:rsidR="00845D33" w:rsidRPr="000F1EC3" w14:paraId="3435D4B2" w14:textId="77777777" w:rsidTr="001B580E">
        <w:trPr>
          <w:gridAfter w:val="1"/>
          <w:wAfter w:w="8" w:type="dxa"/>
        </w:trPr>
        <w:tc>
          <w:tcPr>
            <w:tcW w:w="914" w:type="dxa"/>
            <w:vMerge/>
            <w:vAlign w:val="center"/>
          </w:tcPr>
          <w:p w14:paraId="16010699" w14:textId="77777777" w:rsidR="00845D33" w:rsidRPr="000F1EC3" w:rsidRDefault="00845D33" w:rsidP="005E54B6">
            <w:pPr>
              <w:spacing w:before="20" w:after="20"/>
              <w:rPr>
                <w:rFonts w:ascii="Times New Roman" w:hAnsi="Times New Roman"/>
                <w:b/>
                <w:bCs/>
                <w:sz w:val="24"/>
              </w:rPr>
            </w:pPr>
          </w:p>
        </w:tc>
        <w:tc>
          <w:tcPr>
            <w:tcW w:w="992" w:type="dxa"/>
            <w:vMerge/>
            <w:vAlign w:val="center"/>
          </w:tcPr>
          <w:p w14:paraId="4066E47D" w14:textId="77777777" w:rsidR="00845D33" w:rsidRPr="000F1EC3" w:rsidRDefault="00845D33" w:rsidP="005E54B6">
            <w:pPr>
              <w:spacing w:before="20" w:after="20"/>
              <w:jc w:val="center"/>
              <w:rPr>
                <w:rFonts w:ascii="Times New Roman" w:hAnsi="Times New Roman"/>
                <w:b/>
                <w:bCs/>
                <w:sz w:val="24"/>
              </w:rPr>
            </w:pPr>
          </w:p>
        </w:tc>
        <w:tc>
          <w:tcPr>
            <w:tcW w:w="1620" w:type="dxa"/>
            <w:vAlign w:val="center"/>
          </w:tcPr>
          <w:p w14:paraId="46585F22" w14:textId="77777777" w:rsidR="00845D33" w:rsidRPr="000F1EC3" w:rsidRDefault="00845D33"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47467F61"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Tại khoản 8 đề nghị bổ sung khái niệm </w:t>
            </w:r>
            <w:r w:rsidRPr="000F1EC3">
              <w:rPr>
                <w:rFonts w:ascii="Times New Roman" w:hAnsi="Times New Roman"/>
                <w:i/>
                <w:iCs/>
                <w:sz w:val="24"/>
              </w:rPr>
              <w:t xml:space="preserve">“Thuyền trưởng” </w:t>
            </w:r>
            <w:r w:rsidRPr="000F1EC3">
              <w:rPr>
                <w:rFonts w:ascii="Times New Roman" w:hAnsi="Times New Roman"/>
                <w:sz w:val="24"/>
              </w:rPr>
              <w:t xml:space="preserve">để phù hợp, đầy đủ với khái niệm về </w:t>
            </w:r>
            <w:r w:rsidRPr="000F1EC3">
              <w:rPr>
                <w:rFonts w:ascii="Times New Roman" w:hAnsi="Times New Roman"/>
                <w:i/>
                <w:iCs/>
                <w:sz w:val="24"/>
              </w:rPr>
              <w:t>“Tàu thuyền”</w:t>
            </w:r>
            <w:r w:rsidRPr="000F1EC3">
              <w:rPr>
                <w:rFonts w:ascii="Times New Roman" w:hAnsi="Times New Roman"/>
                <w:sz w:val="24"/>
              </w:rPr>
              <w:t xml:space="preserve"> quy định tại khoản 1 Điều 4.</w:t>
            </w:r>
          </w:p>
          <w:p w14:paraId="769198E2"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Tại khoản 9 quy định </w:t>
            </w:r>
            <w:r w:rsidRPr="000F1EC3">
              <w:rPr>
                <w:rFonts w:ascii="Times New Roman" w:hAnsi="Times New Roman"/>
                <w:i/>
                <w:iCs/>
                <w:sz w:val="24"/>
              </w:rPr>
              <w:t>“</w:t>
            </w:r>
            <w:r w:rsidRPr="000F1EC3">
              <w:rPr>
                <w:rFonts w:ascii="Times New Roman" w:hAnsi="Times New Roman"/>
                <w:i/>
                <w:iCs/>
                <w:sz w:val="24"/>
                <w:lang w:val="vi-VN"/>
              </w:rPr>
              <w:t>Người lái phương tiện là người trực tiếp điều khiển tàu sông loại nhỏ, phương tiện thô sơ hoặc bè.</w:t>
            </w:r>
            <w:r w:rsidRPr="000F1EC3">
              <w:rPr>
                <w:rFonts w:ascii="Times New Roman" w:hAnsi="Times New Roman"/>
                <w:i/>
                <w:iCs/>
                <w:sz w:val="24"/>
              </w:rPr>
              <w:t xml:space="preserve">” </w:t>
            </w:r>
            <w:r w:rsidRPr="000F1EC3">
              <w:rPr>
                <w:rFonts w:ascii="Times New Roman" w:hAnsi="Times New Roman"/>
                <w:sz w:val="24"/>
              </w:rPr>
              <w:t>Đề nghị làm rõ tiêu chí để phân loại tàu sông như dựa trên công suất (CV)/chiều dài đường nước thiết kế (m)/trọng tải (GT)…</w:t>
            </w:r>
          </w:p>
          <w:p w14:paraId="4AA2FE7A"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lastRenderedPageBreak/>
              <w:t xml:space="preserve">- Tại khoản 11 thuật ngữ </w:t>
            </w:r>
            <w:r w:rsidRPr="000F1EC3">
              <w:rPr>
                <w:rFonts w:ascii="Times New Roman" w:hAnsi="Times New Roman"/>
                <w:i/>
                <w:iCs/>
                <w:sz w:val="24"/>
              </w:rPr>
              <w:t>“hàng hoá”</w:t>
            </w:r>
            <w:r w:rsidRPr="000F1EC3">
              <w:rPr>
                <w:rFonts w:ascii="Times New Roman" w:hAnsi="Times New Roman"/>
                <w:sz w:val="24"/>
              </w:rPr>
              <w:t xml:space="preserve"> mới đề cập đến “hợp đồng vận chuyển hàng hóa bằng đường biển” mà chưa nêu đến đường thuỷ nội địa. Trong khi Điều 152 dự thảo Luật quy định chung đối với việc vận chuyển hàng hoá bằng đường biển, đường thủy nội địa. Do đó, đề nghị chỉnh lý lại thuật ngữ này cho phù hợp với Điều 152 theo hướng làm rõ: giải thích hàng hoá nói chung hay chỉ đề cập đến hàng hoá nguy hiểm; việc vận chuyển hàng hoá bằng cả đường biển, đường thủy nội địa.</w:t>
            </w:r>
          </w:p>
          <w:p w14:paraId="6A096935"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Tại khoản 12 quy định </w:t>
            </w:r>
            <w:r w:rsidRPr="000F1EC3">
              <w:rPr>
                <w:rFonts w:ascii="Times New Roman" w:hAnsi="Times New Roman"/>
                <w:i/>
                <w:iCs/>
                <w:sz w:val="24"/>
              </w:rPr>
              <w:t>“công trình năng lượng tái tạo trên biển”</w:t>
            </w:r>
            <w:r w:rsidRPr="000F1EC3">
              <w:rPr>
                <w:rFonts w:ascii="Times New Roman" w:hAnsi="Times New Roman"/>
                <w:sz w:val="24"/>
              </w:rPr>
              <w:t xml:space="preserve"> đề nghị bổ sung làm rõ đây là công trình được xây dựng, lắp đặt trên cơ sở được cơ quan nhà nước có thẩm quyền giao khu vực biển hoặc cho phép sử dụng biển theo quy định của pháp luật về tài nguyên, môi trường biển và hải đảo, nhằm bảo đảm thống nhất với hệ thống pháp luật hiện hành. Việc quy định khái niệm nhưng chưa gắn với cơ chế sử dụng không gian biển có thể dẫn đến hiểu rằng chỉ cần thực hiện thủ tục chuyên ngành hàng hải là đủ để triển khai công trình, trong khi thực tế còn phải thực hiện thủ tục giao khu vực biển.</w:t>
            </w:r>
          </w:p>
          <w:p w14:paraId="0615FCC2"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Tại khoản 50 sử dụng thuật ngữ </w:t>
            </w:r>
            <w:r w:rsidRPr="000F1EC3">
              <w:rPr>
                <w:rFonts w:ascii="Times New Roman" w:hAnsi="Times New Roman"/>
                <w:i/>
                <w:iCs/>
                <w:sz w:val="24"/>
              </w:rPr>
              <w:t>“mực nước trung bình cao nhiều năm”</w:t>
            </w:r>
            <w:r w:rsidRPr="000F1EC3">
              <w:rPr>
                <w:rFonts w:ascii="Times New Roman" w:hAnsi="Times New Roman"/>
                <w:sz w:val="24"/>
              </w:rPr>
              <w:t xml:space="preserve">. Đề nghị rà soát, nghiên cứu sử dụng thống nhất với hệ thống pháp luật hiện hành về tài nguyên, môi trường biển và hải đảo, đặc biệt là thuật ngữ </w:t>
            </w:r>
            <w:r w:rsidRPr="000F1EC3">
              <w:rPr>
                <w:rFonts w:ascii="Times New Roman" w:hAnsi="Times New Roman"/>
                <w:i/>
                <w:iCs/>
                <w:sz w:val="24"/>
              </w:rPr>
              <w:t>“đường mép nước biển thấp nhất trung bình trong nhiều năm”</w:t>
            </w:r>
            <w:r w:rsidRPr="000F1EC3">
              <w:rPr>
                <w:rFonts w:ascii="Times New Roman" w:hAnsi="Times New Roman"/>
                <w:sz w:val="24"/>
              </w:rPr>
              <w:t xml:space="preserve"> theo pháp luật về tài nguyên, môi trường biển và hải đảo. Thuật ngữ </w:t>
            </w:r>
            <w:r w:rsidRPr="000F1EC3">
              <w:rPr>
                <w:rFonts w:ascii="Times New Roman" w:hAnsi="Times New Roman"/>
                <w:i/>
                <w:iCs/>
                <w:sz w:val="24"/>
              </w:rPr>
              <w:t>“đường mép nước biển thấp nhất trung bình trong nhiều năm”</w:t>
            </w:r>
            <w:r w:rsidRPr="000F1EC3">
              <w:rPr>
                <w:rFonts w:ascii="Times New Roman" w:hAnsi="Times New Roman"/>
                <w:sz w:val="24"/>
              </w:rPr>
              <w:t xml:space="preserve"> hiện là cơ sở pháp lý để xác định phạm vi quản lý biển, đảo và đã được cơ quan có thẩm quyền công bố; việc sử dụng thuật ngữ khác trong dự thảo Bộ luật có thể dẫn đến khó khăn trong xác định phạm vi áp dụng pháp luật, đặc biệt tại khu vực giao thoa giữa đất liền và biển.</w:t>
            </w:r>
          </w:p>
          <w:p w14:paraId="148E648A"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Tại khoản 51 và khoản 52 đề nghị làm rõ khái niệm </w:t>
            </w:r>
            <w:r w:rsidRPr="000F1EC3">
              <w:rPr>
                <w:rFonts w:ascii="Times New Roman" w:hAnsi="Times New Roman"/>
                <w:i/>
                <w:iCs/>
                <w:sz w:val="24"/>
              </w:rPr>
              <w:t>“kè chính trị”</w:t>
            </w:r>
            <w:r w:rsidRPr="000F1EC3">
              <w:rPr>
                <w:rFonts w:ascii="Times New Roman" w:hAnsi="Times New Roman"/>
                <w:sz w:val="24"/>
              </w:rPr>
              <w:t xml:space="preserve"> để không trùng lặp với </w:t>
            </w:r>
            <w:r w:rsidRPr="000F1EC3">
              <w:rPr>
                <w:rFonts w:ascii="Times New Roman" w:hAnsi="Times New Roman"/>
                <w:i/>
                <w:iCs/>
                <w:sz w:val="24"/>
              </w:rPr>
              <w:t>“kè bảo vệ đê”</w:t>
            </w:r>
            <w:r w:rsidRPr="000F1EC3">
              <w:rPr>
                <w:rFonts w:ascii="Times New Roman" w:hAnsi="Times New Roman"/>
                <w:sz w:val="24"/>
              </w:rPr>
              <w:t xml:space="preserve"> theo quy định của Luật Đê điều. Ngoài ra, đề nghị chỉnh sửa nội dung tại 02 khoản này để tránh quy định trùng lặp, chồng chéo.</w:t>
            </w:r>
          </w:p>
          <w:p w14:paraId="35B3AF3E"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t>- Đề nghị bổ sung nguyên tắc hoạt động giao thông thủy qua đập, cống, công trình điều tiết nước phải tuân thủ quy trình vận hành công trình thủy lợi, hồ chứa và yêu cầu bảo đảm an toàn công trình.</w:t>
            </w:r>
          </w:p>
          <w:p w14:paraId="49569E56"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Đề nghị rà soát, làm rõ và sử dụng thống nhất các khái niệm như: </w:t>
            </w:r>
            <w:r w:rsidRPr="000F1EC3">
              <w:rPr>
                <w:rFonts w:ascii="Times New Roman" w:hAnsi="Times New Roman"/>
                <w:i/>
                <w:iCs/>
                <w:sz w:val="24"/>
              </w:rPr>
              <w:t>“vùng đất”, “vùng nước”, “vùng nước cảng biển”, “khu vực biển”, “vùng biển”, “trên biển”</w:t>
            </w:r>
            <w:r w:rsidRPr="000F1EC3">
              <w:rPr>
                <w:rFonts w:ascii="Times New Roman" w:hAnsi="Times New Roman"/>
                <w:sz w:val="24"/>
              </w:rPr>
              <w:t xml:space="preserve"> trong toàn bộ dự thảo Bộ luật, bảo đảm phù hợp với quy định của pháp luật về đất đai, pháp luật về tài nguyên, môi trường biển và hải đảo và các quy định pháp luật có liên quan. Hiện nay các khái niệm này được sử dụng ở nhiều điều khoản nhưng chưa có sự phân định rõ ràng về phạm vi không gian quản lý; việc chuẩn hóa thuật ngữ sẽ giúp tránh chồng lấn thẩm quyền quản lý giữa các cơ quan nhà nước và thuận lợi trong tổ chức thực hiện. Đồng thời đề nghị </w:t>
            </w:r>
            <w:r w:rsidRPr="000F1EC3">
              <w:rPr>
                <w:rFonts w:ascii="Times New Roman" w:hAnsi="Times New Roman"/>
                <w:sz w:val="24"/>
              </w:rPr>
              <w:lastRenderedPageBreak/>
              <w:t xml:space="preserve">nghiên cứu bổ sung giải thích cụ thể khái niệm </w:t>
            </w:r>
            <w:r w:rsidRPr="000F1EC3">
              <w:rPr>
                <w:rFonts w:ascii="Times New Roman" w:hAnsi="Times New Roman"/>
                <w:i/>
                <w:iCs/>
                <w:sz w:val="24"/>
              </w:rPr>
              <w:t>“trên biển”</w:t>
            </w:r>
            <w:r w:rsidRPr="000F1EC3">
              <w:rPr>
                <w:rFonts w:ascii="Times New Roman" w:hAnsi="Times New Roman"/>
                <w:sz w:val="24"/>
              </w:rPr>
              <w:t xml:space="preserve"> trong dự thảo theo hướng trên biển là phạm vi tính từ đường mép nước biển thấp nhất trung bình trong nhiều năm ra đến hết các vùng biển Việt Nam. Việc quy định cụ thể phạm vi này sẽ bảo đảm đồng bộ với pháp luật về tài nguyên, môi trường biển và hải đảo, đồng thời tạo cơ sở xác định rõ ranh giới áp dụng của Bộ luật đối với các công trình, hoạt động được triển khai tại vùng ven bờ, vùng biển và các khu vực ngoài khơi. </w:t>
            </w:r>
          </w:p>
          <w:p w14:paraId="1B0527A8" w14:textId="77777777" w:rsidR="00845D33" w:rsidRPr="000F1EC3" w:rsidRDefault="00845D33"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Đề nghị rà soát toàn bộ dự thảo để tránh việc giải thích từ ngữ cùng một nội dung nhưng định nghĩa khác nhau như tại: </w:t>
            </w:r>
            <w:r w:rsidRPr="000F1EC3">
              <w:rPr>
                <w:rFonts w:ascii="Times New Roman" w:hAnsi="Times New Roman"/>
                <w:i/>
                <w:iCs/>
                <w:sz w:val="24"/>
              </w:rPr>
              <w:t xml:space="preserve">“bên thủy nội địa” </w:t>
            </w:r>
            <w:r w:rsidRPr="000F1EC3">
              <w:rPr>
                <w:rFonts w:ascii="Times New Roman" w:hAnsi="Times New Roman"/>
                <w:sz w:val="24"/>
              </w:rPr>
              <w:t xml:space="preserve">được quy định tại Điều 4 và Điều 24; </w:t>
            </w:r>
            <w:r w:rsidRPr="000F1EC3">
              <w:rPr>
                <w:rFonts w:ascii="Times New Roman" w:hAnsi="Times New Roman"/>
                <w:i/>
                <w:iCs/>
                <w:sz w:val="24"/>
              </w:rPr>
              <w:t>“</w:t>
            </w:r>
            <w:r w:rsidRPr="000F1EC3">
              <w:rPr>
                <w:rFonts w:ascii="Times New Roman" w:hAnsi="Times New Roman"/>
                <w:i/>
                <w:iCs/>
                <w:sz w:val="24"/>
                <w:lang w:val="vi-VN"/>
              </w:rPr>
              <w:t>Kết cấu hạ tầng hàng hải</w:t>
            </w:r>
            <w:r w:rsidRPr="000F1EC3">
              <w:rPr>
                <w:rFonts w:ascii="Times New Roman" w:hAnsi="Times New Roman"/>
                <w:i/>
                <w:iCs/>
                <w:sz w:val="24"/>
              </w:rPr>
              <w:t xml:space="preserve">” </w:t>
            </w:r>
            <w:r w:rsidRPr="000F1EC3">
              <w:rPr>
                <w:rFonts w:ascii="Times New Roman" w:hAnsi="Times New Roman"/>
                <w:sz w:val="24"/>
              </w:rPr>
              <w:t xml:space="preserve">được quy định tại Điều 4 và Điều 16;… Rà soát thống nhất tên gọi </w:t>
            </w:r>
            <w:r w:rsidRPr="000F1EC3">
              <w:rPr>
                <w:rFonts w:ascii="Times New Roman" w:hAnsi="Times New Roman"/>
                <w:i/>
                <w:iCs/>
                <w:sz w:val="24"/>
              </w:rPr>
              <w:t>“Công nghiệp tàu thuỷ”</w:t>
            </w:r>
            <w:r w:rsidRPr="000F1EC3">
              <w:rPr>
                <w:rFonts w:ascii="Times New Roman" w:hAnsi="Times New Roman"/>
                <w:sz w:val="24"/>
              </w:rPr>
              <w:t xml:space="preserve"> hay </w:t>
            </w:r>
            <w:r w:rsidRPr="000F1EC3">
              <w:rPr>
                <w:rFonts w:ascii="Times New Roman" w:hAnsi="Times New Roman"/>
                <w:i/>
                <w:iCs/>
                <w:sz w:val="24"/>
              </w:rPr>
              <w:t>“Công nghiệp tàu thuyền”</w:t>
            </w:r>
            <w:r w:rsidRPr="000F1EC3">
              <w:rPr>
                <w:rFonts w:ascii="Times New Roman" w:hAnsi="Times New Roman"/>
                <w:sz w:val="24"/>
              </w:rPr>
              <w:t xml:space="preserve"> tại các khoản 4, 5, 6; bổ sung nội dung </w:t>
            </w:r>
            <w:r w:rsidRPr="000F1EC3">
              <w:rPr>
                <w:rFonts w:ascii="Times New Roman" w:hAnsi="Times New Roman"/>
                <w:i/>
                <w:iCs/>
                <w:sz w:val="24"/>
              </w:rPr>
              <w:t>“nghiên cứu”</w:t>
            </w:r>
            <w:r w:rsidRPr="000F1EC3">
              <w:rPr>
                <w:rFonts w:ascii="Times New Roman" w:hAnsi="Times New Roman"/>
                <w:sz w:val="24"/>
              </w:rPr>
              <w:t xml:space="preserve"> vào khoản 4 để phù hợp với nội dung Điều 94</w:t>
            </w:r>
          </w:p>
        </w:tc>
        <w:tc>
          <w:tcPr>
            <w:tcW w:w="2793" w:type="dxa"/>
            <w:vAlign w:val="center"/>
          </w:tcPr>
          <w:p w14:paraId="1643420D" w14:textId="441CCB30" w:rsidR="00845D33" w:rsidRPr="000F1EC3" w:rsidRDefault="00845D33" w:rsidP="0081493C">
            <w:pPr>
              <w:spacing w:before="20" w:after="20"/>
              <w:jc w:val="both"/>
              <w:rPr>
                <w:rFonts w:ascii="Times New Roman" w:hAnsi="Times New Roman"/>
                <w:sz w:val="24"/>
              </w:rPr>
            </w:pPr>
            <w:r w:rsidRPr="000F1EC3">
              <w:rPr>
                <w:rFonts w:ascii="Times New Roman" w:hAnsi="Times New Roman"/>
                <w:sz w:val="24"/>
              </w:rPr>
              <w:lastRenderedPageBreak/>
              <w:t xml:space="preserve">- Tiếp thu, bổ sung khái niệm </w:t>
            </w:r>
            <w:r w:rsidRPr="000F1EC3">
              <w:rPr>
                <w:rFonts w:ascii="Times New Roman" w:hAnsi="Times New Roman"/>
                <w:i/>
                <w:iCs/>
                <w:sz w:val="24"/>
              </w:rPr>
              <w:t xml:space="preserve">“Thuyền trưởng” </w:t>
            </w:r>
            <w:r w:rsidRPr="000F1EC3">
              <w:rPr>
                <w:rFonts w:ascii="Times New Roman" w:hAnsi="Times New Roman"/>
                <w:sz w:val="24"/>
              </w:rPr>
              <w:t>tại khoản 10 Điều 4 dự thảo.</w:t>
            </w:r>
          </w:p>
          <w:p w14:paraId="7FE3900B" w14:textId="55A7336C" w:rsidR="00845D33" w:rsidRPr="000F1EC3" w:rsidRDefault="00845D33" w:rsidP="0081493C">
            <w:pPr>
              <w:spacing w:before="20" w:after="20"/>
              <w:jc w:val="both"/>
              <w:rPr>
                <w:rFonts w:ascii="Times New Roman" w:hAnsi="Times New Roman"/>
                <w:sz w:val="24"/>
              </w:rPr>
            </w:pPr>
            <w:r w:rsidRPr="000F1EC3">
              <w:rPr>
                <w:rFonts w:ascii="Times New Roman" w:hAnsi="Times New Roman"/>
                <w:sz w:val="24"/>
              </w:rPr>
              <w:t xml:space="preserve">- Tiêu chí để phân loại tàu sông như dựa trên công suất (CV)/chiều dài đường </w:t>
            </w:r>
            <w:r w:rsidRPr="000F1EC3">
              <w:rPr>
                <w:rFonts w:ascii="Times New Roman" w:hAnsi="Times New Roman"/>
                <w:sz w:val="24"/>
              </w:rPr>
              <w:lastRenderedPageBreak/>
              <w:t>nước thiết kế (m)/trọng tải (GT)… được giao Chính phủ quy định.</w:t>
            </w:r>
          </w:p>
          <w:p w14:paraId="72D460A6" w14:textId="77777777" w:rsidR="00845D33" w:rsidRPr="000F1EC3" w:rsidRDefault="00845D33" w:rsidP="0081493C">
            <w:pPr>
              <w:spacing w:before="20" w:after="20"/>
              <w:jc w:val="both"/>
              <w:rPr>
                <w:rFonts w:ascii="Times New Roman" w:hAnsi="Times New Roman"/>
                <w:sz w:val="24"/>
              </w:rPr>
            </w:pPr>
            <w:r w:rsidRPr="000F1EC3">
              <w:rPr>
                <w:rFonts w:ascii="Times New Roman" w:hAnsi="Times New Roman"/>
                <w:sz w:val="24"/>
              </w:rPr>
              <w:t>- Nội dung quy định về công trình tái tạo trên biển tại dự thảo Bộ luật chỉ nhằm quản lý công tác đăng kiểm, tức để bảm đảm yêu cầu kỹ thuật, các nội dung liên quan đến sử dụng biển được thực hiện theo quy định chuyên ngành về tài nguyên, môi trường biển và hải đảo.</w:t>
            </w:r>
          </w:p>
          <w:p w14:paraId="2EE6A58A" w14:textId="77777777" w:rsidR="00845D33" w:rsidRPr="000F1EC3" w:rsidRDefault="00845D33" w:rsidP="0081493C">
            <w:pPr>
              <w:spacing w:before="20" w:after="20"/>
              <w:jc w:val="both"/>
              <w:rPr>
                <w:rFonts w:ascii="Times New Roman" w:hAnsi="Times New Roman"/>
                <w:sz w:val="24"/>
              </w:rPr>
            </w:pPr>
            <w:r w:rsidRPr="000F1EC3">
              <w:rPr>
                <w:rFonts w:ascii="Times New Roman" w:hAnsi="Times New Roman"/>
                <w:sz w:val="24"/>
              </w:rPr>
              <w:t>- Nội dung tại khoản 50, 51, 52 đã được bãi bỏ.</w:t>
            </w:r>
          </w:p>
          <w:p w14:paraId="2FCF066A" w14:textId="28355BDF" w:rsidR="00845D33" w:rsidRPr="000F1EC3" w:rsidRDefault="00845D33" w:rsidP="0081493C">
            <w:pPr>
              <w:spacing w:before="20" w:after="20"/>
              <w:jc w:val="both"/>
              <w:rPr>
                <w:rFonts w:ascii="Times New Roman" w:hAnsi="Times New Roman"/>
                <w:sz w:val="24"/>
              </w:rPr>
            </w:pPr>
            <w:r w:rsidRPr="000F1EC3">
              <w:rPr>
                <w:rFonts w:ascii="Times New Roman" w:hAnsi="Times New Roman"/>
                <w:sz w:val="24"/>
              </w:rPr>
              <w:t>- Các nội dung khác được tiếp thu, rà soát, chỉnh sửa.</w:t>
            </w:r>
          </w:p>
        </w:tc>
      </w:tr>
      <w:tr w:rsidR="005E54B6" w:rsidRPr="000F1EC3" w14:paraId="767BA6ED" w14:textId="77777777" w:rsidTr="001B580E">
        <w:trPr>
          <w:gridAfter w:val="1"/>
          <w:wAfter w:w="8" w:type="dxa"/>
        </w:trPr>
        <w:tc>
          <w:tcPr>
            <w:tcW w:w="914" w:type="dxa"/>
            <w:vAlign w:val="center"/>
          </w:tcPr>
          <w:p w14:paraId="102D6F62"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3A16B75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484CCBE"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45AF4EB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Khoản 12: Đề nghị Ban soạn thảo xem xét, nghiên cứu giải thích lại cụm từ “Công trình năng lượng tái tạo trên biển” như sau: “Công trình năng lượng tái tạo trên biển là công trình được xây dựng, lắp đặt và vận hành trên các vùng biển nhằm khai thác các nguồn năng lượng tái tạo từ môi trường biển để sản xuất năng lượng, bao gồm điện gió ngoài khơi, điện sóng, điện thủy triều, điện mặt trời nổi và các dạng năng lượng biển tái tạo khác”. Lý do: Theo giải thích như đề xuất của Đoàn đại biểu Quốc hội tỉnh sẽ đầy đủ và dễ tiếp cận hơn so với dự thảo.</w:t>
            </w:r>
          </w:p>
          <w:p w14:paraId="716BBD6F"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Khoản 25 về Cảng thủy nội địa, Đoàn đại biểu Quốc hội tỉnh thống nhất chọn Phương án 2. Vì xét thấy nội dung Phương án 2 quy định chặt chẽ về thuật ngữ pháp lý, thuận tiện trong công tác quy hoạch và đầu tư xây dựng Cảng, Bến thủy nội địa và cầu cảng.</w:t>
            </w:r>
          </w:p>
        </w:tc>
        <w:tc>
          <w:tcPr>
            <w:tcW w:w="2793" w:type="dxa"/>
            <w:vAlign w:val="center"/>
          </w:tcPr>
          <w:p w14:paraId="27001670" w14:textId="6A123E18"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1. Khái niệm công trình năng lượng tái tạo trên biển đã được rà soát, điều chỉnh.</w:t>
            </w:r>
          </w:p>
          <w:p w14:paraId="4D4F4E4C" w14:textId="3039702F"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2. Quy định về cảng thủy nội địa đã được tiếp thu, rà soát, quy định cho phù hợp.</w:t>
            </w:r>
          </w:p>
        </w:tc>
      </w:tr>
      <w:tr w:rsidR="005E54B6" w:rsidRPr="000F1EC3" w14:paraId="1762C35C" w14:textId="77777777" w:rsidTr="001B580E">
        <w:trPr>
          <w:gridAfter w:val="1"/>
          <w:wAfter w:w="8" w:type="dxa"/>
        </w:trPr>
        <w:tc>
          <w:tcPr>
            <w:tcW w:w="914" w:type="dxa"/>
            <w:vAlign w:val="center"/>
          </w:tcPr>
          <w:p w14:paraId="00BFD2D4"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5A07C4E3"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719294E"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Công Thương (văn bản số 3357/BCT-PC ngày 13/5/2026)</w:t>
            </w:r>
          </w:p>
        </w:tc>
        <w:tc>
          <w:tcPr>
            <w:tcW w:w="8872" w:type="dxa"/>
            <w:vAlign w:val="center"/>
          </w:tcPr>
          <w:p w14:paraId="36F42A3F" w14:textId="77777777" w:rsidR="0081493C"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Để thúc đẩy phát triển công nghiệp tàu thủy và công nghiệp hỗ trợ tàu thủy, nâng cao năng lực của các doanh nghiệp sản xuất, gia công, chế tạo tàu thủy; đồng thời bảo đảm thống nhất trong cách hiểu và áp dụng với các văn bản quy phạm pháp luật hiện hành về phát triển công nghiệp hỗ trợ, thương mại và các văn bản có liên quan, đề nghị cơ quan chủ trì soạn thảo nghiên cứu, rà soát và chỉnh lý khoản 4, khoản 6 Điều 4 dự thảo Bộ luật như sau: “4. Công nghiệp tàu thuỷ bao gồm: thiết kế, đóng mới, hoán cải, sửa chữa tàu thuyền; sản xuất, chế tạo vật liệu, thiết bị, máy, phụ tùng, vật tư sử dụng cho đóng mới, hoán cải, sửa chữa tàu thuyền; phá dỡ và tái chế tàu thuyền; thử nghiệm tàu thủy; tích hợp hệ thống vận hành. </w:t>
            </w:r>
          </w:p>
          <w:p w14:paraId="1B528FC5" w14:textId="2691804F"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6. Công nghiệp phụ trợ hỗ trợ tàu thủy thuyền bao gồm sản xuất, gia công nguyên liệu, phụ liệu, vật liệu, thiết bị, linh kiện, phụ tùng, phần mềm, dịch vụ kỹ thuật phục vụ trực tiếp cho đóng mới, hoán cải, sửa chữa và khai thác tàu thuyền”. </w:t>
            </w:r>
          </w:p>
          <w:p w14:paraId="49624AEA"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Đề nghị sửa đổi khoản 12 Điều 4 dự thảo Bộ luật để phù hợp với quy định tại Luật Điện lực về dự án điện gió trên biển như sau: “Công trình năng lượng tái tạo trên biển là công trình được xây dựng, lắp đặt trên vùng biển nhằm khai thác các nguồn năng lượng tái tạo từ môi trường biển để sản xuất năng lượng, bao gồm nhưng không giới hạn ở điện gió ngoài khơi trên biển, điện sóng, điện thủy triều và điện mặt trời nổi.”</w:t>
            </w:r>
          </w:p>
          <w:p w14:paraId="5AE0BE62"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Dự thảo Bộ luật đã cụ thể hóa khái niệm trung chuyển hàng hóa quốc tế tại khoản 44 Điều 4, theo đó quy định hàng hóa từ nước ngoài vào khu vực trung chuyển được lưu giữ và xuất sang nước thứ ba dưới sự giám sát của Hải quan mà không cần làm thủ tục nhập khẩu vào Việt Nam. Đây là cơ sở pháp lý quan trọng phản ánh sự phù hợp của thể chế với sự phát triển của thực tiễn, tạo thuận lợi hóa thương mại, góp phần thúc đẩy sự phát triển của cảng trung chuyển, khu thương mại tự do, đưa Việt Nam trở thành trung tâm dịch vụ logistics tầm khu vực và quốc tế.</w:t>
            </w:r>
          </w:p>
        </w:tc>
        <w:tc>
          <w:tcPr>
            <w:tcW w:w="2793" w:type="dxa"/>
            <w:vAlign w:val="center"/>
          </w:tcPr>
          <w:p w14:paraId="7AF4AB76" w14:textId="6F0138EE"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Tiếp thu, rà soát, chỉnh sửa cho phù hợp.</w:t>
            </w:r>
          </w:p>
        </w:tc>
      </w:tr>
      <w:tr w:rsidR="005E54B6" w:rsidRPr="000F1EC3" w14:paraId="7AED39B1" w14:textId="77777777" w:rsidTr="001B580E">
        <w:trPr>
          <w:gridAfter w:val="1"/>
          <w:wAfter w:w="8" w:type="dxa"/>
        </w:trPr>
        <w:tc>
          <w:tcPr>
            <w:tcW w:w="914" w:type="dxa"/>
            <w:vAlign w:val="center"/>
          </w:tcPr>
          <w:p w14:paraId="42ED4CB4"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24A47CA5"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54E84F5"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404F7BA1"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1. Khoản 16 và 17 </w:t>
            </w:r>
          </w:p>
          <w:p w14:paraId="4446940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Đề xuất: Đồng thuận đưa khái niệm cảng xanh, cảng thông minh vào Bộ luật; Đề nghị bổ sung quy định theo lộ trình, có tiêu chí cho cảng xanh, cảng thông minh, không biến ngay thành điều kiện kinh doanh bắt buộc. </w:t>
            </w:r>
          </w:p>
          <w:p w14:paraId="62AA71EA"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Diễn giải: Dự thảo định nghĩa cảng xanh là cảng giảm phát thải, sử dụng công nghệ và nhiên liệu thay thế; cảng thông minh là cảng ứng dụng sổ, tự động hóa, tối ưu logistics. Thông lệ quốc tế đang dịch chuyển mạnh sang giảm phát thải; IMO đặt mục tiêu phát thải ròng bằng 0 khoảng năm 2050, giảm ít nhất 20% vào 2030 và ít nhất 70% vào 2040 so với 2008. </w:t>
            </w:r>
          </w:p>
          <w:p w14:paraId="3FE10AE1"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2. Khoản 24 </w:t>
            </w:r>
          </w:p>
          <w:p w14:paraId="376B30A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Đề xuất: Đề nghị bổ sung quy định riêng về vùng nước kết nổi: chủ thể đầu tư, quản lý, bảo trì, nạo vét, thu hồi vốn, chia sẻ sử dụng, trách nhiệm bảo đảm an toàn hàng hải. </w:t>
            </w:r>
          </w:p>
          <w:p w14:paraId="26366B7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Diễn giải: Dự thảo đã đưa khái niệm “vùng nước kết nối” là vùng nước do tổ chức, cá nhân đầu tư để kết nối từ luồng hàng hải vào bến cảng, cầu cảng, bến phao, khu neo đậu, khu chuyển tải. Đây là nội dung ảnh hưởng trực tiếp đến doanh nghiệp cảng, nhưng nếu chỉ dừng ở định nghĩa thì chưa đủ cơ sở thực thi. </w:t>
            </w:r>
          </w:p>
          <w:p w14:paraId="10C62E5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3. Khoản 28 </w:t>
            </w:r>
          </w:p>
          <w:p w14:paraId="1DECA59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Đề xuất: Bổ sung thêm Bãi tập kết container (Depot) là khu vực kho, bãi chuyên dùng thuộc kết cấu hạ tầng cảng biển để thực hiện các dịch vụ lưu giữ container rỗng hoặc container có hàng, kiểm tra, sửa chữa container, tập kết phương tiện vận tải và các dịch vụ hỗ trợ vận tải khác gắn liền với chuỗi cung ứng hàng hóa bằng đường biển và đường thủy và các chính sách liên quan đến bãi tập kết container </w:t>
            </w:r>
          </w:p>
          <w:p w14:paraId="1A99272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4. Khoản 38 </w:t>
            </w:r>
          </w:p>
          <w:p w14:paraId="007F33A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Đề xuất: Đề nghị làm rõ cơ chế đầu tư, quản lý, khai thác, chuyển đổi luồng chuyên dùng sang luồng công cộng và ngược lại; cơ chế phân chia phí bảo đảm hàng hải. </w:t>
            </w:r>
          </w:p>
          <w:p w14:paraId="2AEE0BA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Diễn giải: Báo cáo tổng kết nêu thực tế nhiều doanh nghiệp cảng tự đầu tư luồng chuyên dùng, có trường hợp nối với luồng công cộng gây khó xác định phí và trách nhiệm quản lý. Một số luồng chuyên dùng sau thời gian khai thác đã phục vụ chung cho nhiều cảng, nhưng Bộ luật 2015 chưa có cơ chế chuyển đổi rõ ràng.</w:t>
            </w:r>
          </w:p>
          <w:p w14:paraId="0942BC8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5. Khoản 40 </w:t>
            </w:r>
          </w:p>
          <w:p w14:paraId="60481DE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Đề xuất: Đề nghị xác định rõ kho, bãi, depot, bãi container rỗng, hệ thống CNTT, giao thông nội bộ, cấp điện, cấp nước là bộ phận của kết cấu hạ tầng cảng biển khi phục vụ trực tiếp khai thác cảng. </w:t>
            </w:r>
          </w:p>
          <w:p w14:paraId="49AF798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Diễn giải: Dự thảo đã bổ sung depot, bãi container rỗng, kết cấu hạ tầng cảng biển. Cần làm rõ để doanh nghiệp có cơ sở đầu tư, hạch toán, thế chấp, bảo trì, nâng cấp và đề xuất ưu đãi đầu tư. </w:t>
            </w:r>
          </w:p>
          <w:p w14:paraId="6BD6DD8D"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6. Khoản 44 </w:t>
            </w:r>
          </w:p>
          <w:p w14:paraId="2CFE676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Đề xuất: Đề nghị quy định thông thoáng hơn về trung chuyển quốc tế: thủ tục hải quan đơn giản, không coi là nhập khẩu, cơ chế lưu giữ – chuyển tải – đổi phương tiện lỉnh hoạt, phù hợp mô hình cảng cửa ngõ. </w:t>
            </w:r>
          </w:p>
          <w:p w14:paraId="36D2AE8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Diễn giải: Dụ thảo đã định nghĩa trung chuyển quốc tế là hàng từ nước ngoài vào khu vực trung chuyển tại cảng Việt Nam, sau đó xuất sang nước thứ ba, dưới giám sát hải quan và không làm thủ tục nhập khẩu. Đây là cơ sở quan trọng để Hải Phòng phát triển vai trò trung chuyển khu vực.</w:t>
            </w:r>
          </w:p>
          <w:p w14:paraId="4B7DE9B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7 Khoản 46, 47</w:t>
            </w:r>
          </w:p>
          <w:p w14:paraId="387B598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Đề xuất: Đề nghị lấy ý kiến thực chất của doanh nghiệp cảng đang khai thác khi lập, điều chỉnh quy hoạch; bảo đảm quy hoạch cảng gắn với đường bộ, đường sắt, đường thủy, ICD, logistics. </w:t>
            </w:r>
          </w:p>
          <w:p w14:paraId="6F25B620"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Diễn giải: Dự thảo định hướng phát triển hạ tầng hiện đại, kết nối đồng bộ với các phương thức vận tải khác. Đây là yêu cầu sống còn trong 5 năm tới khi cạnh tranh cảng không chỉ ở cầu bến mà ở toàn bộ chuỗi logistics.</w:t>
            </w:r>
          </w:p>
        </w:tc>
        <w:tc>
          <w:tcPr>
            <w:tcW w:w="2793" w:type="dxa"/>
            <w:vAlign w:val="center"/>
          </w:tcPr>
          <w:p w14:paraId="503E7AEC" w14:textId="2F1FD326"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1. Nội dung về lộ trình thực hiện do Chính phủ quy định.</w:t>
            </w:r>
          </w:p>
          <w:p w14:paraId="14C8EB07" w14:textId="76477218"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2. Nội dung chi tiết về quản lý các loại kết cấu hạ tầng, vùng đất, vùng nước do Chính phủ quy định.</w:t>
            </w:r>
          </w:p>
        </w:tc>
      </w:tr>
      <w:tr w:rsidR="005E54B6" w:rsidRPr="000F1EC3" w14:paraId="2AE921E0" w14:textId="77777777" w:rsidTr="001B580E">
        <w:trPr>
          <w:gridAfter w:val="1"/>
          <w:wAfter w:w="8" w:type="dxa"/>
        </w:trPr>
        <w:tc>
          <w:tcPr>
            <w:tcW w:w="914" w:type="dxa"/>
            <w:vAlign w:val="center"/>
          </w:tcPr>
          <w:p w14:paraId="79CB2672"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018EDA08"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04F06B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Hội Luật gia Việt Nam (văn bản số 186/HLGVN-</w:t>
            </w:r>
            <w:r w:rsidRPr="000F1EC3">
              <w:rPr>
                <w:rFonts w:ascii="Times New Roman" w:hAnsi="Times New Roman"/>
                <w:b/>
                <w:sz w:val="24"/>
              </w:rPr>
              <w:lastRenderedPageBreak/>
              <w:t>NCPL ngày 8/5/2026)</w:t>
            </w:r>
          </w:p>
        </w:tc>
        <w:tc>
          <w:tcPr>
            <w:tcW w:w="8872" w:type="dxa"/>
            <w:vAlign w:val="center"/>
          </w:tcPr>
          <w:p w14:paraId="52C0D7CB"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Một số khái niệm còn rộng và chưa thật sự rõ, vẫn còn mang tính định tính, chưa có tiêu chí pháp lý đủ rõ, cần tránh sử dụng các khái niệm mở quá lớn gây khó khăn cho áp dụng như: “Tàu thuyền”; “Cảng xanh”; “Cảng thông minh”; “Nhiên liệu thay thế”; “Công nghiệp phụ trợ tàu thủy"....</w:t>
            </w:r>
          </w:p>
        </w:tc>
        <w:tc>
          <w:tcPr>
            <w:tcW w:w="2793" w:type="dxa"/>
            <w:vAlign w:val="center"/>
          </w:tcPr>
          <w:p w14:paraId="4B237916" w14:textId="4173C0B3"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Tiếp thu, rà soát, chỉnh sửa</w:t>
            </w:r>
          </w:p>
        </w:tc>
      </w:tr>
      <w:tr w:rsidR="005E54B6" w:rsidRPr="000F1EC3" w14:paraId="65989AA6" w14:textId="77777777" w:rsidTr="001B580E">
        <w:trPr>
          <w:gridAfter w:val="1"/>
          <w:wAfter w:w="8" w:type="dxa"/>
        </w:trPr>
        <w:tc>
          <w:tcPr>
            <w:tcW w:w="914" w:type="dxa"/>
            <w:vAlign w:val="center"/>
          </w:tcPr>
          <w:p w14:paraId="4CC562E5"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4B6FC0D6"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9459CD3"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ĐBQH Điện Biên (văn bản số 75/DBQH-VP ngày 13/5/2026)</w:t>
            </w:r>
          </w:p>
        </w:tc>
        <w:tc>
          <w:tcPr>
            <w:tcW w:w="8872" w:type="dxa"/>
            <w:vAlign w:val="center"/>
          </w:tcPr>
          <w:p w14:paraId="1E9DFE48" w14:textId="5E6C5576"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Khoản 25: Để bảo đảm tính thống nhất, đồng bộ trong hệ thống pháp luật, Đoàn ĐBQH tỉnh Điện Biên đề xuất lựa chọn theo Phương án 2. Theo đó, khái niệm “cảng thủy nội địa” được xây dựng theo hướng tương đồng với quy định về “cảng biển” tại khoản 1 Điều 17 của dự thảo Bộ luật 1 và kế thừa quy định của Bộ luật Hàng hải hiện hành. Tuy nhiên, để quy định chặt chẽ, đề nghị bỏ cụm từ “Bến thuỷ nội địa có một hoặc nhiều cầu cảng” và sửa lại như sau: “Cảng thuỷ nội địa là khu vực bao gồm vùng đất cảng và vùng nước cảng, được xây dựng kết cấu hạ tầng, lắp đặt trang thiết bị cho phương tiện thủy nội địa, tàu biển bốc dỡ hàng hóa, đón trả hành khách và thực hiện dịch vụ khác. Cảng thủy nội địa có một hoặc nhiều bến thuỷ nội địa.”. Việc bỏ quy định “Bến thuỷ nội địa có một hoặc nhiều cầu cảng” trong khái niệm “cảng thủy nội địa” sẽ tránh trùng lặp với nội dung giải thích từ ngữ về “bến thủy nội địa”. </w:t>
            </w:r>
          </w:p>
          <w:p w14:paraId="2E30C96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Khoản 26 giải thích từ ngữ “Bến thủy nội địa”, đề nghị bỏ cụm từ “không bao gồm tàu biển” và thay thế cụm từ “Bến thuỷ nội địa có quy mô gồm 01 cầu cảng” bằng cụm từ “Bến thuỷ nội địa có quy mô gồm một hoặc nhiều cầu cảng”; sửa lại như sau: “Bến thủy nội địa là công trình độc lập, gồm vùng đất và vùng nước trước bến để tàu thuyền neo đậu, xếp dỡ hàng hóa, đón trả hành khách và thực hiện dịch vụ hỗ trợ khác. Bến thuỷ nội địa có quy mô gồm một hoặc nhiều cầu cảng.” nhằm bảo đảm phù hợp với thực tiễn và quy định tại khoản 1 Điều 17 của dự thảo; đồng thời, việc bỏ cụm từ “không bao gồm tàu biển” sẽ tạo sự thống nhất với quy định về cảng thủy nội địa có tiếp nhận tàu biển và tránh hạn chế phạm vi áp dụng trong thực tiễn</w:t>
            </w:r>
          </w:p>
        </w:tc>
        <w:tc>
          <w:tcPr>
            <w:tcW w:w="2793" w:type="dxa"/>
            <w:vAlign w:val="center"/>
          </w:tcPr>
          <w:p w14:paraId="20AB4591" w14:textId="433F1365"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401AB532" w14:textId="77777777" w:rsidTr="001B580E">
        <w:trPr>
          <w:gridAfter w:val="1"/>
          <w:wAfter w:w="8" w:type="dxa"/>
        </w:trPr>
        <w:tc>
          <w:tcPr>
            <w:tcW w:w="914" w:type="dxa"/>
            <w:vAlign w:val="center"/>
          </w:tcPr>
          <w:p w14:paraId="2A71BD61"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687AFB5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10A29C7"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Lào Cai (văn bản số 2441/SXD-VTPTNL ngày 8/5/2026)</w:t>
            </w:r>
          </w:p>
        </w:tc>
        <w:tc>
          <w:tcPr>
            <w:tcW w:w="8872" w:type="dxa"/>
            <w:vAlign w:val="center"/>
          </w:tcPr>
          <w:p w14:paraId="0DF18EF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Tại khoản 25 Điều 4 dự thảo quy định khái niệm Cảng thủy nội địa theo 02 phương án để lựa chọn (Phương án 1 đưa ra tiêu chí cứng "có quy mô từ 02 cầu cảng trở lên"; Phương án 2 tập trung vào chức năng, kết cấu hạ tầng tiếp nhận tàu thuyền). Tuy nhiên việc áp dụng tiêu chí định lượng cứng về số lượng cầu cảng ở Phương án 1 là không phản ánh đúng thực tiễn đầu tư hạ tầng hiện đại, dễ gây xáo trộn quyền lợi của nhà đầu tư, vi phạm nguyên tắc bảo vệ lợi ích hợp pháp của nhà đầu tư tại khoản 2 Điều 6 dự thảo. Do đó đề nghị cơ quan soạn thảo, rà soát, chỉnh sửa loại bỏ Phương án 1 và thống nhất lựa chọn Phương án 2 làm khái niệm. Đồng thời rà soát, chỉnh sửa các cụm từ tại phương án 2 gồm: thay cụm thừ "phương tiện thủy nội địa, tàu biển" bằng cụm từ "tàu thuyền" để bảo đảm tính thống nhất theo quy định tại khoản 1 Điều 4 dự thảo Bộ luật Hàng hải và Đường thủy nội địa Việt Nam quy định: "Tàu thuyền là phương tiện hoạt động trên mặt nước hoặc dưới mặt nước bao gồm tàu, thuyền và các phương tiện khác có động cơ hoặc không có động cơ" và rà </w:t>
            </w:r>
            <w:r w:rsidRPr="000F1EC3">
              <w:rPr>
                <w:rFonts w:ascii="Times New Roman" w:hAnsi="Times New Roman"/>
                <w:sz w:val="24"/>
              </w:rPr>
              <w:lastRenderedPageBreak/>
              <w:t>soát, chỉnh sửa thay thế cụm từ "bốc dỡ" bằng từ "xếp dỡ" cho phù hợp quy định tại khoản 15 Điều 4 dự thảo Bộ luật Hàng hải và Đường thủy nội địa Việt Nam quy định khái niệm về Cảng biển sử dụng thuật ngữ là "...để xếp dỡ, trung chuyển hàng hóa...".</w:t>
            </w:r>
          </w:p>
          <w:p w14:paraId="07063AC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Tại khoản 26 Điều 4, đề nghị bỏ nội dung: “Bến thuỷ nội địa có quy mô gồm 01 cầu cảng”. Lý do: hiện nay, nhiều bến thủy nội địa tại các khu vực miền núi phía bắc đều có kết cấu đơn giản, lượng phương tiện ít, mực nước thấp, lưu tốc của nước cao, không có cầu cảng, việc quy định cứng bến thuỷ nội địa phải có cầu cảng là chưa phù hợp.</w:t>
            </w:r>
          </w:p>
          <w:p w14:paraId="15099BB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Đề nghị ban soạn thảo xem xét bổ sung khái niệm “Thuyền viên”. Lý do: khái niệm thuyền viên được sử dụng nhiều trong dự thảo (tại Điều 3, Điều 11, Điều 12…) mà chưa có định nghĩa cụ thể.</w:t>
            </w:r>
          </w:p>
          <w:p w14:paraId="2CA88B6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Đề nghị ban soạn thảo xem xét khái niệm “Luồng đường thủy nội địa” tại khoản 51 Điều 4 và khái niệm “Đường thủy nội địa” khoản 52 Điều 4 dự thảo Lý do: hai khái niệm này đang quy định chưa rõ ràng, trùng lặp.</w:t>
            </w:r>
          </w:p>
        </w:tc>
        <w:tc>
          <w:tcPr>
            <w:tcW w:w="2793" w:type="dxa"/>
            <w:vAlign w:val="center"/>
          </w:tcPr>
          <w:p w14:paraId="72E5FDA0" w14:textId="77777777"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p w14:paraId="58F813C1" w14:textId="4AB7C012"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Các nội dung liên quan đến khái niệm được rà soát, chỉnh sửa và chỉ quy định khi thật sự cần thiết.</w:t>
            </w:r>
          </w:p>
        </w:tc>
      </w:tr>
      <w:tr w:rsidR="005E54B6" w:rsidRPr="000F1EC3" w14:paraId="48A2BD11" w14:textId="77777777" w:rsidTr="001B580E">
        <w:trPr>
          <w:gridAfter w:val="1"/>
          <w:wAfter w:w="8" w:type="dxa"/>
        </w:trPr>
        <w:tc>
          <w:tcPr>
            <w:tcW w:w="914" w:type="dxa"/>
            <w:vAlign w:val="center"/>
          </w:tcPr>
          <w:p w14:paraId="5BA61016"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0CC3FC6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5B7B2A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Đắk Lắk (văn bản số 121/ĐBQH-VP ngày 13/5/2026)</w:t>
            </w:r>
          </w:p>
        </w:tc>
        <w:tc>
          <w:tcPr>
            <w:tcW w:w="8872" w:type="dxa"/>
            <w:vAlign w:val="center"/>
          </w:tcPr>
          <w:p w14:paraId="034E387F"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Thực tiễn hiện nay đã xuất hiện nhiều loại hình phương tiện nổi hoạt động trên mặt nước như kho chứa khí (LPG, LNG, Amoniac, Hydro), bến phao chuyên dùng. Tuy nhiên, khái niệm "kho chứa nổi" trong pháp luật hiện hành và dự thảo mới chỉ tập trung vào cấu trúc nổi chứa, sơ chế dầu mà chưa bao quát chứa khí. Bên cạnh đó, các phương tiện vui chơi giải trí dưới nước (mô tô nước, ca nô kéo dù bay) đang bị áp dụng quy định chung như phương tiện kinh doanh thương mại, gây khó khăn rất lớn cho người dân và doanh nghiệp. Do đó, đề nghị bổ sung làm rõ khái niệm “kho chứa nổi” bao gồm cả kho chứa khí (LNG, LPG...) tại Điều 4 để bao quát thực tiễn. Đồng thời, cần bổ sung giải thích từ ngữ riêng cho “phương tiện vui chơi, giải trí dưới nước” và “tàu lặn” để làm cơ sở xây dựng khung pháp lý đặc thù, tách bạch khỏi các quy định khắt khe của tàu biển chở khách thương mại.</w:t>
            </w:r>
          </w:p>
        </w:tc>
        <w:tc>
          <w:tcPr>
            <w:tcW w:w="2793" w:type="dxa"/>
            <w:vAlign w:val="center"/>
          </w:tcPr>
          <w:p w14:paraId="6ADA029A" w14:textId="06BA0F78"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Các nội dung liên quan đến khái niệm được rà soát, chỉnh sửa và chỉ quy định khi thật sự cần thiết.</w:t>
            </w:r>
          </w:p>
        </w:tc>
      </w:tr>
      <w:tr w:rsidR="005E54B6" w:rsidRPr="000F1EC3" w14:paraId="2540E1B4" w14:textId="77777777" w:rsidTr="001B580E">
        <w:trPr>
          <w:gridAfter w:val="1"/>
          <w:wAfter w:w="8" w:type="dxa"/>
        </w:trPr>
        <w:tc>
          <w:tcPr>
            <w:tcW w:w="914" w:type="dxa"/>
            <w:vAlign w:val="center"/>
          </w:tcPr>
          <w:p w14:paraId="263C0DF8"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68F09FEF"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234808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Công ty TNHH MTV Thông tin điện tử hàng hải Việt Nam (văn bản số 1657/VISIPEL-KHĐT ngày 8/5/2026)</w:t>
            </w:r>
          </w:p>
        </w:tc>
        <w:tc>
          <w:tcPr>
            <w:tcW w:w="8872" w:type="dxa"/>
            <w:vAlign w:val="center"/>
          </w:tcPr>
          <w:p w14:paraId="633443D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a) Tại khoản 41 Điều 4 của Dụ thảo Bộ luật quy định: "41. Kết cấu hạ tầng hàng hải bao gồm kết cấu hạ tầng cảng biển, cảng dầu khí ngoài khơi, luồng hàng hải, hệ thống hỗ trợ hàng hải, báo hiệu hàng hải, hệ thống thông tin điện tử hàng hải, đê chắn sóng, đê chắn cát, kè hưởng dòng, kè bảo vệ bờ, bãi được tôn tạo phục vụ xây dựng cảng, công trình thuỷ công trong nhà máy đóng, sửa chữa tàu và các công trình hàng hải khác được đầu tư xây dựng hoặc thiết lập trong vùng nước cảng biển và vùng biển của Việt Nam để phục vụ hoạt động hàng hải. " </w:t>
            </w:r>
          </w:p>
          <w:p w14:paraId="671B65F2"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Công ty đề nghị sửa “hệ thống thông tin điện tử hàng hải” thành “hệ thống thông tin duyên hải” với các lý do sau: </w:t>
            </w:r>
          </w:p>
          <w:p w14:paraId="2122E2C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(i) Thực thi điều ước quốc tế mà Việt Nam là thành viên. Hiện nay các quy định của Tổ chức Hàng hải quốc tế IMO, Liên minh viễn thông quốc tế ITU đều sử dụng thuật ngữ </w:t>
            </w:r>
            <w:r w:rsidRPr="000F1EC3">
              <w:rPr>
                <w:rFonts w:ascii="Times New Roman" w:hAnsi="Times New Roman"/>
                <w:sz w:val="24"/>
              </w:rPr>
              <w:lastRenderedPageBreak/>
              <w:t xml:space="preserve">“coast stations" hoặc "coast station” để chỉ Đài/ các Đài thông tin duyên hải trong Hệ thống thông tin duyên hải, không có thuật ngữ “hệ thống thông tin điện tử hàng hải”, cụ thể như: </w:t>
            </w:r>
          </w:p>
          <w:p w14:paraId="52621141"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Tại mục 1 và mục 2, Phụ lục 1 của Nghị quyết MSC.509(105) ngày 28/4/2022 của Uy ban an toàn hàng hải thuộc IMO): 1. Các chính phủ thành viên nên thiết lập các đài duyên hải để xác định một hoặc các vùng biển cung cấp dịch vụ: vùng A1 hoặc A2, hoặc cả hai. 2. Các chính phủ thành viên không xác định vùng biển A1 hoặc A2 cũng nên thiết lập các đài duyên hải để cung cấp dịch vụ trong vùng biển A3 hoặc A4.</w:t>
            </w:r>
          </w:p>
          <w:p w14:paraId="173CD03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Tại khoản 3, khoản 4, Điều 50, Chương 9, Thể lệ vô tuyến điện (Radio Regulations): 50.3 Dịch vụ của các Đài duyên hải và đài (vệ tinh) mặt đất cung cấp dịch vụ liên tục (ngày và đêm) trong phạm vi có thể. Tuy nhiên, một số đài duyên hải có thể có thời gian phục vụ giới hạn. Mỗi quốc gia hoặc cơ quan vận hành được công nhận sẽ quy định giờ cung cáp dịch vụ cho các Đài duyên hải thuộc thẩm quyễn của mình. 50.4 Giờ cung cấp dịch vụ phải được thông báo cho Cục Vô tuyển điện và được công bố chủng trong Danh sách các Đài duyên hải và Đài nghiệp vụ đặc biệt (Danh sách IV) ".</w:t>
            </w:r>
          </w:p>
          <w:p w14:paraId="130CB38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(ii) Kế thừa các quy định hiện hành còn phù hợp, cụ thể như: Tại điểm k, khoản 1, Nghị định số 84/2025/NĐ-CP ngày 04/4/2025 quy dịnh việc quản lý, sử dụng và khai thác tài sản kết cấu hạ tầng hàng hải: “k) Hệ thống thông tin duyên hải Việt Nam gồm máy móc, trang thiết bị, nhà của, vật kiến trúc và các công trình phụ trợ phục vụ trực tiếp cho hoạt động củа Hệ thống thông tin duyên hải Việt Nam. (iii) Thực tiễn: các Đài thuộc Hệ thống thông tin duyên hải được quốc tế công bố trong Danh bạ các đài duyên hải và đài nghiệp vụ đặc biệt; Đài truyền hình VTV thông báo các tần số cấp cứu của Hệ thống thông tin duyên hải trong bản tin dự báo thời tiết khi có bão, áp thấp nhiệt đới trên biển Đông;...</w:t>
            </w:r>
          </w:p>
        </w:tc>
        <w:tc>
          <w:tcPr>
            <w:tcW w:w="2793" w:type="dxa"/>
            <w:vAlign w:val="center"/>
          </w:tcPr>
          <w:p w14:paraId="694F60C9" w14:textId="2AF019C1"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Các nội dung liên quan đến khái niệm được rà soát, chỉnh sửa và chỉ quy định khi thật sự cần thiết.</w:t>
            </w:r>
          </w:p>
        </w:tc>
      </w:tr>
      <w:tr w:rsidR="005E54B6" w:rsidRPr="000F1EC3" w14:paraId="353787F5" w14:textId="77777777" w:rsidTr="001B580E">
        <w:trPr>
          <w:gridAfter w:val="1"/>
          <w:wAfter w:w="8" w:type="dxa"/>
        </w:trPr>
        <w:tc>
          <w:tcPr>
            <w:tcW w:w="914" w:type="dxa"/>
            <w:vAlign w:val="center"/>
          </w:tcPr>
          <w:p w14:paraId="451F7255"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62720CB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C5E4FD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Quảng Ngãi (văn bản số 68/ĐBQH-CTQH ngày 8/5/2026)</w:t>
            </w:r>
          </w:p>
        </w:tc>
        <w:tc>
          <w:tcPr>
            <w:tcW w:w="8872" w:type="dxa"/>
            <w:vAlign w:val="center"/>
          </w:tcPr>
          <w:p w14:paraId="592923D9"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Tại khoản 16: Cần bổ sung rõ hơn tiêu chí định lượng cho "Cảng xanh" (ví dụ như tỷ lệ năng lượng tái tạo, mức giảm phát thải CO2,…) để dễ kiểm tra thực hiện, dễ áp dụng và đảm bảo tính minh bạch, thống nhất trong áp dụng và phù hợp với thông lệ quốc tế ưu đãi tại Điều 6. - Tại Khoản 49: Khái niệm "Mã định danh cảng biển" cần được làm rõ thêm là đại diện cho dữ liệu hoạt động quản lý của từng tổ chức quản lý cảng hay đại diện cho toàn bộ hoạt động của từng cảng riêng biệt (bao gồm nhiều chủ thể hơn) để tránh chồng chéo, khó khăn trong kết nối và chia sẻ dữ liệu dùng chung tại Điều 8</w:t>
            </w:r>
          </w:p>
        </w:tc>
        <w:tc>
          <w:tcPr>
            <w:tcW w:w="2793" w:type="dxa"/>
            <w:vAlign w:val="center"/>
          </w:tcPr>
          <w:p w14:paraId="1A511FA4" w14:textId="0C7C7D3E"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Tiếp thu, rà soát và chỉnh sửa cho phù hợp.</w:t>
            </w:r>
          </w:p>
        </w:tc>
      </w:tr>
      <w:tr w:rsidR="005E54B6" w:rsidRPr="000F1EC3" w14:paraId="696BDF49" w14:textId="77777777" w:rsidTr="001B580E">
        <w:trPr>
          <w:gridAfter w:val="1"/>
          <w:wAfter w:w="8" w:type="dxa"/>
        </w:trPr>
        <w:tc>
          <w:tcPr>
            <w:tcW w:w="914" w:type="dxa"/>
            <w:vAlign w:val="center"/>
          </w:tcPr>
          <w:p w14:paraId="2E679061"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561AB2ED"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94F1832"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Tây Ninh (văn bản số 106/DBQH-</w:t>
            </w:r>
            <w:r w:rsidRPr="000F1EC3">
              <w:rPr>
                <w:rFonts w:ascii="Times New Roman" w:hAnsi="Times New Roman"/>
                <w:b/>
                <w:bCs/>
                <w:sz w:val="24"/>
              </w:rPr>
              <w:lastRenderedPageBreak/>
              <w:t>CTQH ngày 13/5/2026)</w:t>
            </w:r>
          </w:p>
        </w:tc>
        <w:tc>
          <w:tcPr>
            <w:tcW w:w="8872" w:type="dxa"/>
            <w:vAlign w:val="center"/>
          </w:tcPr>
          <w:p w14:paraId="4A6017CC"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Đề nghị xem xét lựa chọn Phương án 2 quy định về Cảng thủy nội địa để đảm bảo tính bao quát. Lý do: Việc chọn Phương án 2 quy định về cảng thủy nội địa bao gồm cả khu vực tiếp nhận tàu biển, điều này phù hợp với thực tế nhiều cảng sông hiện nay vẫn tiếp nhận tàu biển trọng tải phù hợp. Việc thống nhất khái niệm này giúp tối ưu hóa năng lực khai thác của hệ thống bến cảng hiện có và đồng bộ với hạ tầng vận tải đa phương thức.</w:t>
            </w:r>
          </w:p>
        </w:tc>
        <w:tc>
          <w:tcPr>
            <w:tcW w:w="2793" w:type="dxa"/>
            <w:vAlign w:val="center"/>
          </w:tcPr>
          <w:p w14:paraId="637DBA95" w14:textId="3F088956"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w:t>
            </w:r>
            <w:r w:rsidRPr="000F1EC3">
              <w:rPr>
                <w:rFonts w:ascii="Times New Roman" w:hAnsi="Times New Roman"/>
                <w:sz w:val="24"/>
              </w:rPr>
              <w:lastRenderedPageBreak/>
              <w:t>chỉnh sửa theo hướng sửa đổi, bổ sung các quy định chỉ mang tính nguyên tắc, các nội dung chi tiết được chuyển quy định tại văn bản hướng dẫn thi hành.</w:t>
            </w:r>
          </w:p>
        </w:tc>
      </w:tr>
      <w:tr w:rsidR="005E54B6" w:rsidRPr="000F1EC3" w14:paraId="31AEF6E3" w14:textId="77777777" w:rsidTr="001B580E">
        <w:trPr>
          <w:gridAfter w:val="1"/>
          <w:wAfter w:w="8" w:type="dxa"/>
        </w:trPr>
        <w:tc>
          <w:tcPr>
            <w:tcW w:w="914" w:type="dxa"/>
            <w:vAlign w:val="center"/>
          </w:tcPr>
          <w:p w14:paraId="6A61E8B5"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492944E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F44B03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Khánh Hòa (văn bản số 4773/SXD-QLVT ngày 11/5/2026)</w:t>
            </w:r>
          </w:p>
        </w:tc>
        <w:tc>
          <w:tcPr>
            <w:tcW w:w="8872" w:type="dxa"/>
            <w:vAlign w:val="center"/>
          </w:tcPr>
          <w:p w14:paraId="19287869"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Đề nghị cơ quan soạn thảo bổ sung như sau để quy định chặt chẽ, rõ nghĩa và thống nhất với khoản 1 Điều 15 dự thảo: “2. Tổ chức đăng kiểm là tổ chức cung cấp dịch vụ đăng kiểm được cơ quan quản lý nhà nước về đăng kiểm công nhận theo quy định pháp luật của Việt Nam và điều ước quốc tế mà Nước Cộng hòa xã hội chủ nghĩa Việt Nam là thành viên.”</w:t>
            </w:r>
          </w:p>
          <w:p w14:paraId="40A00C7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Tại khoản 25 Điều 4: để đồng nhất với giải thích từ ngữ “cảng biển” được quy định tại khoản 15 Điều 4, đề xuất chọn PA 2. Tuy nhiên, theo quy định tại khoản 1 Điều 30: “ Cảng, bến thủy nội địa thực hiện công bố theo quy định của pháp luật”. Do đó, nội dung “Cảng thủy nội địa có một hoặc nhiều bến thuỷ nội địa” là chưa phù hợp, vì cả cảng thủy nội địa và bến thủy nội địa đều phải thực hiện công bố. Đề nghị cơ quan soạn thảo xem xét điều chỉnh nội dung theo hướng“Cảng thủy nội địa có một hoặc nhiều cầu cảng” để thống nhất cách hiểu và thuận lợi khi áp dụng. </w:t>
            </w:r>
          </w:p>
          <w:p w14:paraId="570C0807"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Tại khoản 26 Điều 4: điều chỉnh thành “Bến thuỷ nội địa có một hoặc nhiều cầu cảng”, để không giới hạn nhu cầu của nhà đầu tư.</w:t>
            </w:r>
          </w:p>
        </w:tc>
        <w:tc>
          <w:tcPr>
            <w:tcW w:w="2793" w:type="dxa"/>
            <w:vAlign w:val="center"/>
          </w:tcPr>
          <w:p w14:paraId="45896B4E"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p w14:paraId="039CCE9C" w14:textId="7F075AE2"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Các nội dung liên quan đến khái niệm được rà soát, chỉnh sửa và chỉ quy định khi thật sự cần thiết.</w:t>
            </w:r>
          </w:p>
        </w:tc>
      </w:tr>
      <w:tr w:rsidR="00367A47" w:rsidRPr="000F1EC3" w14:paraId="4DAF4016" w14:textId="77777777" w:rsidTr="00845D33">
        <w:trPr>
          <w:gridAfter w:val="1"/>
          <w:wAfter w:w="8" w:type="dxa"/>
          <w:trHeight w:val="3076"/>
        </w:trPr>
        <w:tc>
          <w:tcPr>
            <w:tcW w:w="914" w:type="dxa"/>
            <w:vAlign w:val="center"/>
          </w:tcPr>
          <w:p w14:paraId="20422F7E" w14:textId="77777777" w:rsidR="00367A47" w:rsidRPr="000F1EC3" w:rsidRDefault="00367A47" w:rsidP="005E54B6">
            <w:pPr>
              <w:spacing w:before="20" w:after="20"/>
              <w:rPr>
                <w:rFonts w:ascii="Times New Roman" w:hAnsi="Times New Roman"/>
                <w:b/>
                <w:bCs/>
                <w:sz w:val="24"/>
              </w:rPr>
            </w:pPr>
          </w:p>
        </w:tc>
        <w:tc>
          <w:tcPr>
            <w:tcW w:w="992" w:type="dxa"/>
            <w:vMerge/>
            <w:vAlign w:val="center"/>
          </w:tcPr>
          <w:p w14:paraId="2624C420" w14:textId="77777777" w:rsidR="00367A47" w:rsidRPr="000F1EC3" w:rsidRDefault="00367A47" w:rsidP="005E54B6">
            <w:pPr>
              <w:spacing w:before="20" w:after="20"/>
              <w:jc w:val="center"/>
              <w:rPr>
                <w:rFonts w:ascii="Times New Roman" w:hAnsi="Times New Roman"/>
                <w:b/>
                <w:bCs/>
                <w:sz w:val="24"/>
              </w:rPr>
            </w:pPr>
          </w:p>
        </w:tc>
        <w:tc>
          <w:tcPr>
            <w:tcW w:w="1620" w:type="dxa"/>
            <w:vAlign w:val="center"/>
          </w:tcPr>
          <w:p w14:paraId="6B84C0CF" w14:textId="77777777" w:rsidR="00367A47" w:rsidRPr="000F1EC3" w:rsidRDefault="00367A47" w:rsidP="005E54B6">
            <w:pPr>
              <w:spacing w:before="20" w:after="20"/>
              <w:jc w:val="center"/>
              <w:rPr>
                <w:rFonts w:ascii="Times New Roman" w:hAnsi="Times New Roman"/>
                <w:b/>
                <w:bCs/>
                <w:sz w:val="24"/>
              </w:rPr>
            </w:pPr>
            <w:r w:rsidRPr="000F1EC3">
              <w:rPr>
                <w:rFonts w:ascii="Times New Roman" w:hAnsi="Times New Roman"/>
                <w:b/>
                <w:bCs/>
                <w:sz w:val="24"/>
              </w:rPr>
              <w:t>ĐBQH Thanh Hóa (văn bản số 69/BC-ĐBQH ngày 8/5/2026)</w:t>
            </w:r>
          </w:p>
        </w:tc>
        <w:tc>
          <w:tcPr>
            <w:tcW w:w="8872" w:type="dxa"/>
            <w:vAlign w:val="center"/>
          </w:tcPr>
          <w:p w14:paraId="5EE5C673" w14:textId="77777777" w:rsidR="00367A47" w:rsidRPr="000F1EC3" w:rsidRDefault="00367A47" w:rsidP="005E54B6">
            <w:pPr>
              <w:shd w:val="clear" w:color="auto" w:fill="FFFFFF"/>
              <w:spacing w:before="20" w:after="20"/>
              <w:jc w:val="both"/>
              <w:rPr>
                <w:rFonts w:ascii="Times New Roman" w:hAnsi="Times New Roman"/>
                <w:sz w:val="24"/>
              </w:rPr>
            </w:pPr>
            <w:r w:rsidRPr="000F1EC3">
              <w:rPr>
                <w:rFonts w:ascii="Times New Roman" w:hAnsi="Times New Roman"/>
                <w:sz w:val="24"/>
              </w:rPr>
              <w:t>Khoản 25: lựa chọn phương án 2 vì phương án này tiếp cận theo cấu trúc tổng thể của hệ thống kết cấu hạ tầng cảng, bảo đảm tính logic giữa cảng, bến và cầu cảng; đồng thời phù hợp thực tiễn đầu tư, khai thác và xu hướng phát triển hạ tầng logistics hiện nay. Bên cạnh đó, việc quy định cảng thủy nội địa phải có từ 02 cầu cảng trở lên như phương án 1 có thể phát sinh vướng mắc đối với các cảng được đầu tư theo giai đoạn hoặc các cảng chuyên dùng có quy mô khai thác lớn nhưng chưa đủ số lượng cầu cảng theo quy định.</w:t>
            </w:r>
          </w:p>
        </w:tc>
        <w:tc>
          <w:tcPr>
            <w:tcW w:w="2793" w:type="dxa"/>
            <w:vAlign w:val="center"/>
          </w:tcPr>
          <w:p w14:paraId="2FFB105B" w14:textId="7469EA4B" w:rsidR="00367A47" w:rsidRPr="000F1EC3" w:rsidRDefault="00367A47" w:rsidP="0081493C">
            <w:pPr>
              <w:spacing w:before="20" w:after="20"/>
              <w:jc w:val="both"/>
              <w:rPr>
                <w:rFonts w:ascii="Times New Roman" w:hAnsi="Times New Roman"/>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48B4C7CB" w14:textId="77777777" w:rsidTr="001B580E">
        <w:trPr>
          <w:gridAfter w:val="1"/>
          <w:wAfter w:w="8" w:type="dxa"/>
        </w:trPr>
        <w:tc>
          <w:tcPr>
            <w:tcW w:w="914" w:type="dxa"/>
            <w:vAlign w:val="center"/>
          </w:tcPr>
          <w:p w14:paraId="7AE0449F"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08B5890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7561EA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 xml:space="preserve">ĐBQH Quảng Trị </w:t>
            </w:r>
            <w:r w:rsidRPr="000F1EC3">
              <w:rPr>
                <w:rFonts w:ascii="Times New Roman" w:hAnsi="Times New Roman"/>
                <w:b/>
                <w:bCs/>
                <w:sz w:val="24"/>
              </w:rPr>
              <w:lastRenderedPageBreak/>
              <w:t>(văn bản số 74/DBQH-CTQH ngày 11/5/2026)</w:t>
            </w:r>
          </w:p>
        </w:tc>
        <w:tc>
          <w:tcPr>
            <w:tcW w:w="8872" w:type="dxa"/>
            <w:vAlign w:val="center"/>
          </w:tcPr>
          <w:p w14:paraId="7DE3532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lastRenderedPageBreak/>
              <w:t xml:space="preserve">khoản 25 Điều 4) Đoàn ĐBQH tỉnh Quảng Trị lựa chọn PA2; vì định nghĩa này đảm bảo tính thống nhất cao với cấu trúc định nghĩa cảng biển, tạo sự đồng bộ tuyệt đối trong quản </w:t>
            </w:r>
            <w:r w:rsidRPr="000F1EC3">
              <w:rPr>
                <w:rFonts w:ascii="Times New Roman" w:hAnsi="Times New Roman"/>
                <w:sz w:val="24"/>
              </w:rPr>
              <w:lastRenderedPageBreak/>
              <w:t>lý kết cấu hạ tầng. PA2 thiết lập hệ thống phân cấp hạ tầng mạch lạc từ cảng đến bến và cầu cảng, giúp làm rõ nội hàm kỹ thuật hơn so với PA1. Đặc biệt, việc mở rộng đối tượng phục vụ cho cả tàu biển và phương tiện thủy nội địa giúp xử lý triệt để tình trạng chồng lấn tại khu vực giao thoa, vốn là mục tiêu cốt lõi của việc hợp nhất Bộ luật. Mặt khác, PA2 bao quát mọi loại hình cảng thực tế, đảm bảo tính dự báo và tạo hành lang pháp lý linh hoạt để phát triển chuỗi logistics đa phương thức, không gò bó về quy mô như quy định của PA1</w:t>
            </w:r>
          </w:p>
        </w:tc>
        <w:tc>
          <w:tcPr>
            <w:tcW w:w="2793" w:type="dxa"/>
            <w:vAlign w:val="center"/>
          </w:tcPr>
          <w:p w14:paraId="14F9A828" w14:textId="7007D3A1"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 xml:space="preserve">Đối với các Điều, khoản đề xuất 02 phương án tại </w:t>
            </w:r>
            <w:r w:rsidRPr="000F1EC3">
              <w:rPr>
                <w:rFonts w:ascii="Times New Roman" w:hAnsi="Times New Roman"/>
                <w:sz w:val="24"/>
              </w:rPr>
              <w:lastRenderedPageBreak/>
              <w:t>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5C6E576B" w14:textId="77777777" w:rsidTr="001B580E">
        <w:trPr>
          <w:gridAfter w:val="1"/>
          <w:wAfter w:w="8" w:type="dxa"/>
        </w:trPr>
        <w:tc>
          <w:tcPr>
            <w:tcW w:w="914" w:type="dxa"/>
            <w:vAlign w:val="center"/>
          </w:tcPr>
          <w:p w14:paraId="5A61989A"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6D282E53"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98612F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Sở Xây dựng Điện Biên (văn bản số 2247/SXD-QLVT&amp;ATGT ngày 11/5/2026)</w:t>
            </w:r>
          </w:p>
        </w:tc>
        <w:tc>
          <w:tcPr>
            <w:tcW w:w="8872" w:type="dxa"/>
            <w:vAlign w:val="center"/>
          </w:tcPr>
          <w:p w14:paraId="6791C439"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Đề nghị cơ quan soạn thảo rà soát các khoản 8, 15, 27 để xây dựng không trùng lặp với các quy định tại khoản 1 Điều 87, khoản 1 Điều 17 và khoản 1 Điều 31 dự thảo Bộ luật.</w:t>
            </w:r>
          </w:p>
          <w:p w14:paraId="5E21B7A4"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khoản 25: đề nghị lựa chọn Phương án 2 để bảo đảm quy định về cảng thủy nội địa được áp dụng linh hoạt và phù hợp thực tiễn quản lý hiện nay. Tương tự đối với các Điều 24, Điều 25, Điều 26, Điều 27, Điều 28; đề nghị lựa chọn Phương án 2 để bảo đảm thống nhất.</w:t>
            </w:r>
          </w:p>
        </w:tc>
        <w:tc>
          <w:tcPr>
            <w:tcW w:w="2793" w:type="dxa"/>
            <w:vAlign w:val="center"/>
          </w:tcPr>
          <w:p w14:paraId="4284BAD7" w14:textId="77777777"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Tiếp thu, rà soát, chỉnh sửa.</w:t>
            </w:r>
          </w:p>
          <w:p w14:paraId="4E8EEEDC" w14:textId="7900903C"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75265A91" w14:textId="77777777" w:rsidTr="001B580E">
        <w:trPr>
          <w:gridAfter w:val="1"/>
          <w:wAfter w:w="8" w:type="dxa"/>
        </w:trPr>
        <w:tc>
          <w:tcPr>
            <w:tcW w:w="914" w:type="dxa"/>
            <w:vAlign w:val="center"/>
          </w:tcPr>
          <w:p w14:paraId="101C9A7C"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345F4F21"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76B74C9"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 xml:space="preserve">UBND TP Hải Phòng (văn bản số 895/UBND-XDCT ngày 12/5/2026) </w:t>
            </w:r>
          </w:p>
        </w:tc>
        <w:tc>
          <w:tcPr>
            <w:tcW w:w="8872" w:type="dxa"/>
            <w:vAlign w:val="center"/>
          </w:tcPr>
          <w:p w14:paraId="119626B7" w14:textId="77777777" w:rsidR="0081493C"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Đề nghị sửa đổi các thuật ngữ “Công nghiệp tàu thủy”, “cơ sở công nghiệp tàu thủy” tại khoản 4,5 Điều này thành Công nghiệp tàu thuyền”, “cơ sở công nghiệp tàu thuyền” để đảm bảo thống nhất với thuật ngữ “Công nghiệp phụ trợ tàu thuyền” quy định tại khoản 6 Điều này, đảm bảo tránh hiểu nhầm đồng thời bao trùm, áp dụng chung cho tàu thủy và tàu biển. </w:t>
            </w:r>
          </w:p>
          <w:p w14:paraId="006C2E05" w14:textId="25AA4E9A"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Hiện các thuật ngữ “Cơ sở dữ liệu về hàng hải và đường thủy nội địa”, “cơ quan quản lý nhà nước chuyên ngành hàng hải và đường thủy” hiện đang được định nghĩa tại các Điều khác mà chưa được giải thích tại Điều 4 của Bộ Luật, do đó đề nghị bổ sung giải thích các thuật ngữ này tại Điều 4. Đồng thời bổ sung giải thích các thuật ngữ “Chủ cảng biển”, “Chủ cảng, bến thủy nội địa”, “đầu mối giao thông đường thủy”, “công trình hàng hải, đường thủy tạm thời để đáp ứng nhu cầu cấp thiết phát triển kinh tế - xã hội” để đảm bảo thống nhất, khả thi trong quá trình thực hiện.</w:t>
            </w:r>
          </w:p>
        </w:tc>
        <w:tc>
          <w:tcPr>
            <w:tcW w:w="2793" w:type="dxa"/>
            <w:vAlign w:val="center"/>
          </w:tcPr>
          <w:p w14:paraId="7E0BA1A8" w14:textId="77777777"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giữ nguyên như dự thảo về tên gọi công nghiệp tàu thủy, do dự thảo đã rà soát các quy định liên quan để sử dụng thống nhất.</w:t>
            </w:r>
          </w:p>
          <w:p w14:paraId="512E37FA" w14:textId="1F45B194"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Các nội dung liên quan đến khái niệm được rà soát, chỉnh sửa và chỉ quy định khi thật sự cần thiết.</w:t>
            </w:r>
          </w:p>
        </w:tc>
      </w:tr>
      <w:tr w:rsidR="005E54B6" w:rsidRPr="000F1EC3" w14:paraId="3457C5E9" w14:textId="77777777" w:rsidTr="001B580E">
        <w:trPr>
          <w:gridAfter w:val="1"/>
          <w:wAfter w:w="8" w:type="dxa"/>
        </w:trPr>
        <w:tc>
          <w:tcPr>
            <w:tcW w:w="914" w:type="dxa"/>
            <w:vAlign w:val="center"/>
          </w:tcPr>
          <w:p w14:paraId="5B6D75CB"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114CD62C"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BC11F44"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Trường ĐHGTVT TP HCM (văn bản số 260511-02/CV-UTH-MLP ngày 11/5/2026)</w:t>
            </w:r>
          </w:p>
        </w:tc>
        <w:tc>
          <w:tcPr>
            <w:tcW w:w="8872" w:type="dxa"/>
            <w:vAlign w:val="center"/>
          </w:tcPr>
          <w:p w14:paraId="4AD93FE8"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Mặc dù Dự thảo đã bổ sung khái niệm cảng xanh, cảng thông minh, nhiên liệu thay thế nhưng chưa đầy đủ đối với quá trình chuyển đổi số ngành hàng hải, dẫn đến khoảng trống pháp lý trong áp dụng nên tại Điều 4 cần bổ sung các thuật ngữ mới như: vận đơn điện tử, chứng từ điện tử hàng hải, tàu tự hành, an ninh mạng hàng hải, cảng phát thải thấp, dữ liệu hàng hải số.</w:t>
            </w:r>
          </w:p>
        </w:tc>
        <w:tc>
          <w:tcPr>
            <w:tcW w:w="2793" w:type="dxa"/>
            <w:vAlign w:val="center"/>
          </w:tcPr>
          <w:p w14:paraId="0B7576B5" w14:textId="11170237"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Nội dung này dự kiến được quy định tại các văn bản hướng dẫn thực hiện, dự kiến được dự thảo và trình ký ban hành bảo đảm có hiệu lực đồng thời với Bộ luật.</w:t>
            </w:r>
          </w:p>
        </w:tc>
      </w:tr>
      <w:tr w:rsidR="005E54B6" w:rsidRPr="000F1EC3" w14:paraId="3D39F2BB" w14:textId="77777777" w:rsidTr="001B580E">
        <w:trPr>
          <w:gridAfter w:val="1"/>
          <w:wAfter w:w="8" w:type="dxa"/>
        </w:trPr>
        <w:tc>
          <w:tcPr>
            <w:tcW w:w="914" w:type="dxa"/>
            <w:vAlign w:val="center"/>
          </w:tcPr>
          <w:p w14:paraId="2650526A"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72766D05"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44141B7"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1682EEB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Dự thảo còn có khái niệm thiếu tính chuẩn hóa pháp lý, như khái niệm “tàu thuyền” (khoản 1) còn quá rộng, chưa phân định rõ tàu biển với phương tiện thủy nội địa; chưa có định nghĩa pháp lý về “cảng xanh”, “cảng thông minh”, “vận tải thủy xanh”, “hạ tầng số hàng hải”. Trong bối cảnh chuyển đổi số và chuyển đổi xanh đang trở thành xu thế toàn cầu, nếu không chuẩn hóa thuật ngữ ngay trong Bộ luật thì sẽ gây khó khăn lớn khi triển khai chính sách sau này. Đề nghị cơ quan soạn thảo nghiên cứu bổ sung. </w:t>
            </w:r>
          </w:p>
          <w:p w14:paraId="380C7EC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Tại khoản 11 quy định “hàng hóa là... được vận chuyển theo hợp đồng vận chuyển hàng hóa bằng đường biển” không bao phủ được hàng hóa vận chuyển đường thủy nội địa, chưa thống nhất khi áp dụng tại Chương vận tải đường thủy nội địa. Đề nghị mở rộng khái niệm “hàng hóa” để áp dụng cho cả vận tải đường thủy nội địa, không chỉ giới hạn trong vận chuyển theo hợp đồng “bằng đường biển”. </w:t>
            </w:r>
          </w:p>
          <w:p w14:paraId="526971A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Tại khoản 16, 17 quy định “Cảng xanh, Cảng thông minh”: Các định nghĩa cảng xanh và cảng thông minh tại Điều 4 mang tính khái quát cao nhưng chưa gắn với tiêu chuẩn kỹ thuật, điều kiện công nhận, ưu đãi cụ thể. Kinh nghiệm của Singapore (MPA Green Port Programme), Trung Quốc (JTS/T 105-4-2020) cho thấy cần có bộ tiêu chí đánh giá rõ ràng. Đề nghị quy định rõ tiêu chuẩn, tiêu chí công nhận cảng xanh và cảng thông minh kèm theo lộ trình chuyển đổi cụ thể, tránh quy định hình thức không có cơ chế thực thi. </w:t>
            </w:r>
          </w:p>
          <w:p w14:paraId="32395B0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Tại khoản 25 quy định “Cảng thủy nội địa”: Phương án 1 quy định cảng thủy nội địa từ 02 cầu cảng trở lên tạo ra ranh giới cứng nhắc, không phản ánh thực tiễn nhiều cảng thủy nội địa lớn hiện đang quản lý theo khu vực. Phương án 2 tiếp cận theo vùng đất và vùng nước, phù hợp với mô hình quản lý đồng bộ và tư duy tích hợp logistics. Đề nghị lựa chọn Phương án 2 về định nghĩa cảng thủy nội địa vì phù hợp với thực tiễn phát triển cảng tích hợp, kết nối đa phương thức và đồng bộ với cách phân loại cảng biển; đồng thời bổ sung tiêu chí phân loại cảng loại I, II, III ngay trong điều định nghĩa. </w:t>
            </w:r>
          </w:p>
          <w:p w14:paraId="5D65C2BB"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Tại khoản 26 quy định “Bến thủy nội địa” Thực tế hiện nay có nhiều bến thủy nội địa vận hành nhiều điểm bốc dỡ nhưng không cấu thành cảng, việc giới hạn “01 cầu cảng” gây khó </w:t>
            </w:r>
            <w:r w:rsidRPr="000F1EC3">
              <w:rPr>
                <w:rFonts w:ascii="Times New Roman" w:hAnsi="Times New Roman"/>
                <w:sz w:val="24"/>
              </w:rPr>
              <w:lastRenderedPageBreak/>
              <w:t>khăn trong phân loại và cấp phép. Cần tiêu chí định lượng hơn (tải trọng phương tiện, lượng hàng thông qua). Đề nghị bỏ quy định cứng “bến thủy nội địa có quy mô gồm 01 cầu cảng” và thay bằng tiêu chí về quy mô phương tiện tiếp nhận và năng lực thông qua hàng hóa, để linh hoạt hơn với thực tiễn.</w:t>
            </w:r>
          </w:p>
        </w:tc>
        <w:tc>
          <w:tcPr>
            <w:tcW w:w="2793" w:type="dxa"/>
            <w:vAlign w:val="center"/>
          </w:tcPr>
          <w:p w14:paraId="08EBAA59"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p w14:paraId="23EC59B3" w14:textId="53F2C271"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Các nội dung liên quan đến khái niệm được rà soát, chỉnh sửa và chỉ quy định khi thật sự cần thiết.</w:t>
            </w:r>
          </w:p>
        </w:tc>
      </w:tr>
      <w:tr w:rsidR="005E54B6" w:rsidRPr="000F1EC3" w14:paraId="12D48BBA" w14:textId="77777777" w:rsidTr="001B580E">
        <w:trPr>
          <w:gridAfter w:val="1"/>
          <w:wAfter w:w="8" w:type="dxa"/>
        </w:trPr>
        <w:tc>
          <w:tcPr>
            <w:tcW w:w="914" w:type="dxa"/>
            <w:vAlign w:val="center"/>
          </w:tcPr>
          <w:p w14:paraId="7321CD71"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72D35C43" w14:textId="77777777" w:rsidR="005E54B6" w:rsidRPr="000F1EC3" w:rsidRDefault="005E54B6" w:rsidP="005E54B6">
            <w:pPr>
              <w:spacing w:before="20" w:after="20"/>
              <w:jc w:val="center"/>
              <w:rPr>
                <w:rFonts w:ascii="Times New Roman" w:hAnsi="Times New Roman"/>
                <w:b/>
                <w:bCs/>
                <w:sz w:val="24"/>
              </w:rPr>
            </w:pPr>
          </w:p>
        </w:tc>
        <w:tc>
          <w:tcPr>
            <w:tcW w:w="1620" w:type="dxa"/>
            <w:vMerge w:val="restart"/>
            <w:vAlign w:val="center"/>
          </w:tcPr>
          <w:p w14:paraId="31876C0E"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33491659"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(Văn bản số 3107/BQP-PC ngày 11/5/2026)</w:t>
            </w:r>
          </w:p>
        </w:tc>
        <w:tc>
          <w:tcPr>
            <w:tcW w:w="8872" w:type="dxa"/>
            <w:vAlign w:val="center"/>
          </w:tcPr>
          <w:p w14:paraId="15EB3631"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Đề nghị bổ sung giải thích từ ngữ “cảng biển lưỡng dụng” tại Điều 4 như sau: “Cảng biển lưỡng dụng là cảng biển được thiết kế, đầu tư xây dựng, quản lý, sử dụng và khai thác cho cả mục đích quân sự, quốc phòng và mục đích dân sự, được cấp có thẩm quyền quyết định chuyển đổi, bổ sung mục đích sử dụng” (Căn cứ quy định tại Điều 7 Luật Quản lý, bảo vệ công trình quốc phòng và khu quân sự năm 2023). Đồng thời, đề nghị bổ sung cụm từ “cảng biển lưỡng dụng” vào khoản 2 và khoản 4 Điều 17 và Điều 19; bổ sung từ “quốc phòng” vào sau từ “quân sự” tại khoản 3 Điều 17 dự thảo Bộ luật; nghiên cứu bổ sung nội dung “cảng biển lưỡng dụng phải đáp ứng tiêu chuẩn quy định cho mục đích sử dụng dân sự kết hợp quân sự, quốc phòng” để thực hiện nội dung III Phụ lục kèm theo Chương trình hành động tại Nghị quyết số 29/NQ-CP ngày 24/02/2026 của Chính phủ về phát triển kinh tế nhà nước</w:t>
            </w:r>
          </w:p>
        </w:tc>
        <w:tc>
          <w:tcPr>
            <w:tcW w:w="2793" w:type="dxa"/>
            <w:vAlign w:val="center"/>
          </w:tcPr>
          <w:p w14:paraId="7B8AB1D1" w14:textId="6D37B4D9"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Đã bổ sung khái niệm bến cảng lưỡng dụng tại khoản 29 Điều 4 dự thảo.</w:t>
            </w:r>
          </w:p>
        </w:tc>
      </w:tr>
      <w:tr w:rsidR="005E54B6" w:rsidRPr="000F1EC3" w14:paraId="3CA09ADF" w14:textId="77777777" w:rsidTr="001B580E">
        <w:trPr>
          <w:gridAfter w:val="1"/>
          <w:wAfter w:w="8" w:type="dxa"/>
        </w:trPr>
        <w:tc>
          <w:tcPr>
            <w:tcW w:w="914" w:type="dxa"/>
            <w:vAlign w:val="center"/>
          </w:tcPr>
          <w:p w14:paraId="7F010827"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65A2B91A" w14:textId="77777777" w:rsidR="005E54B6" w:rsidRPr="000F1EC3" w:rsidRDefault="005E54B6" w:rsidP="005E54B6">
            <w:pPr>
              <w:spacing w:before="20" w:after="20"/>
              <w:jc w:val="center"/>
              <w:rPr>
                <w:rFonts w:ascii="Times New Roman" w:hAnsi="Times New Roman"/>
                <w:b/>
                <w:bCs/>
                <w:sz w:val="24"/>
              </w:rPr>
            </w:pPr>
          </w:p>
        </w:tc>
        <w:tc>
          <w:tcPr>
            <w:tcW w:w="1620" w:type="dxa"/>
            <w:vMerge/>
            <w:vAlign w:val="center"/>
          </w:tcPr>
          <w:p w14:paraId="2EA3FAE1" w14:textId="77777777" w:rsidR="005E54B6" w:rsidRPr="000F1EC3" w:rsidRDefault="005E54B6" w:rsidP="005E54B6">
            <w:pPr>
              <w:spacing w:before="20" w:after="20"/>
              <w:jc w:val="center"/>
              <w:rPr>
                <w:rFonts w:ascii="Times New Roman" w:hAnsi="Times New Roman"/>
                <w:b/>
                <w:sz w:val="24"/>
              </w:rPr>
            </w:pPr>
          </w:p>
        </w:tc>
        <w:tc>
          <w:tcPr>
            <w:tcW w:w="8872" w:type="dxa"/>
            <w:vAlign w:val="center"/>
          </w:tcPr>
          <w:p w14:paraId="63DC5ACF"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Khoản 25: Đề nghị lựa chọn phương án 2, lý do: phù hợp với thực tiễn khai thác và mô hình quản lý hiện nay, tạo điều kiện thuận lợi cho đầu tư phát triển hệ thống cảng thủy nội địa</w:t>
            </w:r>
          </w:p>
        </w:tc>
        <w:tc>
          <w:tcPr>
            <w:tcW w:w="2793" w:type="dxa"/>
            <w:vAlign w:val="center"/>
          </w:tcPr>
          <w:p w14:paraId="1794A592" w14:textId="232A4541"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1E41DE90" w14:textId="77777777" w:rsidTr="001B580E">
        <w:trPr>
          <w:gridAfter w:val="1"/>
          <w:wAfter w:w="8" w:type="dxa"/>
        </w:trPr>
        <w:tc>
          <w:tcPr>
            <w:tcW w:w="914" w:type="dxa"/>
            <w:vAlign w:val="center"/>
          </w:tcPr>
          <w:p w14:paraId="786225C4"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84FB85A" w14:textId="77777777" w:rsidR="005E54B6" w:rsidRPr="000F1EC3" w:rsidRDefault="005E54B6" w:rsidP="005E54B6">
            <w:pPr>
              <w:spacing w:before="20" w:after="20"/>
              <w:jc w:val="center"/>
              <w:rPr>
                <w:rFonts w:ascii="Times New Roman" w:hAnsi="Times New Roman"/>
                <w:b/>
                <w:bCs/>
                <w:sz w:val="24"/>
              </w:rPr>
            </w:pPr>
          </w:p>
        </w:tc>
        <w:tc>
          <w:tcPr>
            <w:tcW w:w="1620" w:type="dxa"/>
            <w:vMerge/>
            <w:vAlign w:val="center"/>
          </w:tcPr>
          <w:p w14:paraId="5560411E" w14:textId="77777777" w:rsidR="005E54B6" w:rsidRPr="000F1EC3" w:rsidRDefault="005E54B6" w:rsidP="005E54B6">
            <w:pPr>
              <w:spacing w:before="20" w:after="20"/>
              <w:jc w:val="center"/>
              <w:rPr>
                <w:rFonts w:ascii="Times New Roman" w:hAnsi="Times New Roman"/>
                <w:b/>
                <w:sz w:val="24"/>
              </w:rPr>
            </w:pPr>
          </w:p>
        </w:tc>
        <w:tc>
          <w:tcPr>
            <w:tcW w:w="8872" w:type="dxa"/>
            <w:vAlign w:val="center"/>
          </w:tcPr>
          <w:p w14:paraId="68AEEF5E"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Bổ sung giải thích từ ngữ đối với cụm từ “lực lượng chuyên ngành tìm kiếm cứu nạn hàng hải” để phù hợp với nhiệm vụ của lực lượng này được quy định tại Điều 64 dự thảo Bộ luật</w:t>
            </w:r>
          </w:p>
        </w:tc>
        <w:tc>
          <w:tcPr>
            <w:tcW w:w="2793" w:type="dxa"/>
            <w:vAlign w:val="center"/>
          </w:tcPr>
          <w:p w14:paraId="1A21D054" w14:textId="3263A04A"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Tiếp thu, bổ sung tại khoản 37 Điều 4 dự thảo.</w:t>
            </w:r>
          </w:p>
        </w:tc>
      </w:tr>
      <w:tr w:rsidR="005E54B6" w:rsidRPr="000F1EC3" w14:paraId="1E477B8D" w14:textId="77777777" w:rsidTr="001B580E">
        <w:trPr>
          <w:gridAfter w:val="1"/>
          <w:wAfter w:w="8" w:type="dxa"/>
        </w:trPr>
        <w:tc>
          <w:tcPr>
            <w:tcW w:w="914" w:type="dxa"/>
            <w:vAlign w:val="center"/>
          </w:tcPr>
          <w:p w14:paraId="60040F0E"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6C276A3"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D4E09EE"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Bộ Nội vụ (văn bản số 4525/BNV-PC ngày 12/5/2025)</w:t>
            </w:r>
          </w:p>
        </w:tc>
        <w:tc>
          <w:tcPr>
            <w:tcW w:w="8872" w:type="dxa"/>
            <w:vAlign w:val="center"/>
          </w:tcPr>
          <w:p w14:paraId="75DFCA92"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Tại khoản 7 Điều 4, đề nghị rà soát về “Hệ thống quản lý an toàn, sức khỏe nghề nghiệp và bảo vệ môi trường (HSE)”, do trong dự thảo không có nội dung liên quan đến hệ thống quản lý an toàn, sức khỏe nghề nghiệp và bảo vệ môi trường; đồng thời xem xét sự cần thiết của việc bổ sung khái niệm này để bảo đảm tính thống nhất của văn bản và các quy định liên quan.</w:t>
            </w:r>
          </w:p>
        </w:tc>
        <w:tc>
          <w:tcPr>
            <w:tcW w:w="2793" w:type="dxa"/>
            <w:vAlign w:val="center"/>
          </w:tcPr>
          <w:p w14:paraId="256B3E73" w14:textId="7B3CBF62"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Tiếp thu, đã bão bỏ nội dung này</w:t>
            </w:r>
            <w:r w:rsidRPr="000F1EC3">
              <w:rPr>
                <w:rFonts w:ascii="Times New Roman" w:hAnsi="Times New Roman"/>
                <w:b/>
                <w:bCs/>
                <w:sz w:val="24"/>
              </w:rPr>
              <w:t>.</w:t>
            </w:r>
          </w:p>
        </w:tc>
      </w:tr>
      <w:tr w:rsidR="005E54B6" w:rsidRPr="000F1EC3" w14:paraId="0DA09848" w14:textId="77777777" w:rsidTr="001B580E">
        <w:trPr>
          <w:gridAfter w:val="1"/>
          <w:wAfter w:w="8" w:type="dxa"/>
        </w:trPr>
        <w:tc>
          <w:tcPr>
            <w:tcW w:w="914" w:type="dxa"/>
            <w:vAlign w:val="center"/>
          </w:tcPr>
          <w:p w14:paraId="375B856C"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4D1A58B9"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6CA9EE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Gia Lai (văn bản số 3648/SXD-GT ngày 11/5/2026)</w:t>
            </w:r>
          </w:p>
        </w:tc>
        <w:tc>
          <w:tcPr>
            <w:tcW w:w="8872" w:type="dxa"/>
            <w:vAlign w:val="center"/>
          </w:tcPr>
          <w:p w14:paraId="263EDAC3"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xml:space="preserve">+ Tại khoản 1 đề nghị chỉnh sửa quy định “điều ước quốc tế mà Cộng hòa xã hội chủ nghĩa Việt Nam là thành viên” thành “điều ước quốc tế mà nước Cộng hòa xã hội chủ nghĩa Việt Nam là thành viên” nhằm đảm bảo phù hợp với quy định tại Điều 3 Luật Điều ước quốc tế là “Điều ước quốc tế mà nước Cộng hòa xã hội chủ nghĩa Việt Nam là thành viên là điều ước quốc tế đang có hiệu lực đối với nước Cộng hòa xã hội chủ nghĩa Việt Nam”. Theo đó, đề nghị rà soát, chỉnh sửa nội dung tương tự tại các điều khoản khác trong Dự thảo cho phù hợp (Điều 9,…). </w:t>
            </w:r>
          </w:p>
          <w:p w14:paraId="545B3252"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Tại Khoản 25 trình bày 02 phương án giải thích “Cảng thủy nội địa” bao gồm phương án 01 “... là hệ thống công trình bao gồm vùng đất và vùng nước cảng thuỷ nội địa được quy hoạch, đầu tư xây dựng kết cấu hạ tầng, lắp đặt thiết bị cho tàu thuyền xếp dỡ hàng hóa, đón trả hành khách và thực hiện dịch vụ khác. Cảng thuỷ nội địa có quy mô từ 02 cầu cảng trở lên” và phương án 02 “... là khu vực bao gồm vùng đất cảng và vùng nước cảng, được xây dựng kết cấu hạ tầng, lắp đặt trang thiết bị cho phương tiện thủy nội địa, tàu biển bốc dỡ hàng hóa, đón trả hành khách và thực hiện dịch vụ khác. Cảng thủy nội địa có một hoặc nhiều bến thuỷ nội địa. Bến thuỷ nội địa có một hoặc nhiều cầu cảng”. Đề xuất lựa chọn phương án 02 vì nội dung đầy đủ, rõ ràng, tương ứng với giải thích về “Cảng biển” tại khoản 15 (trang 03). Bên cạnh đó, đề nghị xem xét chỉnh sửa nội dung khoản 26 (trang 05) từ “26. Bến thủy nội địa là công trình độc lập, gồm vùng đất và vùng nước trước bến để tàu thuyền (không bao gồm tàu biển) neo đậu, xếp dỡ hàng hóa, đón trả hành khách và thực hiện dịch vụ hỗ trợ khác. Bến thuỷ nội địa có quy mô gồm 01 cầu cảng” thành “26. Bến thủy nội địa là công trình độc lập, ... và thực hiện dịch vụ hỗ trợ khác” (lược bỏ nội dung “Bến thuỷ nội địa có quy mô gồm 01 cầu cảng”) để thống nhất với nội dung khoản 25. Cảng thủy nội địa theo phương án 02.</w:t>
            </w:r>
          </w:p>
        </w:tc>
        <w:tc>
          <w:tcPr>
            <w:tcW w:w="2793" w:type="dxa"/>
            <w:vAlign w:val="center"/>
          </w:tcPr>
          <w:p w14:paraId="7284F2C7" w14:textId="12D10253"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1. Tiếp thu, chỉnh sửa.</w:t>
            </w:r>
          </w:p>
          <w:p w14:paraId="49A65891" w14:textId="076D1C92"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2. So với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r w:rsidRPr="000F1EC3">
              <w:rPr>
                <w:rFonts w:ascii="Times New Roman" w:hAnsi="Times New Roman"/>
                <w:b/>
                <w:bCs/>
                <w:sz w:val="24"/>
              </w:rPr>
              <w:t xml:space="preserve"> </w:t>
            </w:r>
          </w:p>
        </w:tc>
      </w:tr>
      <w:tr w:rsidR="005E54B6" w:rsidRPr="000F1EC3" w14:paraId="72157D29" w14:textId="77777777" w:rsidTr="001B580E">
        <w:trPr>
          <w:gridAfter w:val="1"/>
          <w:wAfter w:w="8" w:type="dxa"/>
        </w:trPr>
        <w:tc>
          <w:tcPr>
            <w:tcW w:w="914" w:type="dxa"/>
            <w:vAlign w:val="center"/>
          </w:tcPr>
          <w:p w14:paraId="64FEC152"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C4B455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EB04A04"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Hà Tĩnh (văn bản số 2546/SXD-QLVT ngày 11/5/2026)</w:t>
            </w:r>
          </w:p>
        </w:tc>
        <w:tc>
          <w:tcPr>
            <w:tcW w:w="8872" w:type="dxa"/>
            <w:vAlign w:val="center"/>
          </w:tcPr>
          <w:p w14:paraId="1C143766"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Khoản 51, 52, Điều 4, dùng cụm từ “kè chính trị”, đề nghị rà soát sửa thành “kè chỉnh trị”</w:t>
            </w:r>
          </w:p>
          <w:p w14:paraId="4E9E0385"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Tại Khoản 25, Điều 4: lựa chọn phương án 2 (không nêu lý do)</w:t>
            </w:r>
          </w:p>
        </w:tc>
        <w:tc>
          <w:tcPr>
            <w:tcW w:w="2793" w:type="dxa"/>
            <w:vAlign w:val="center"/>
          </w:tcPr>
          <w:p w14:paraId="77F8B135"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1. Tiếp thu, chỉnh sửa.</w:t>
            </w:r>
          </w:p>
          <w:p w14:paraId="1EF9D963" w14:textId="158B6219"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2. 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tc>
      </w:tr>
      <w:tr w:rsidR="005E54B6" w:rsidRPr="000F1EC3" w14:paraId="5D095E8E" w14:textId="77777777" w:rsidTr="001B580E">
        <w:trPr>
          <w:gridAfter w:val="1"/>
          <w:wAfter w:w="8" w:type="dxa"/>
        </w:trPr>
        <w:tc>
          <w:tcPr>
            <w:tcW w:w="914" w:type="dxa"/>
            <w:vAlign w:val="center"/>
          </w:tcPr>
          <w:p w14:paraId="3D6F71B3"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769B7C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DBBCEF1"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Quảng Ngãi (văn bản số 3329/SXD-ATGT ngày 12/5/2026)</w:t>
            </w:r>
          </w:p>
        </w:tc>
        <w:tc>
          <w:tcPr>
            <w:tcW w:w="8872" w:type="dxa"/>
            <w:vAlign w:val="center"/>
          </w:tcPr>
          <w:p w14:paraId="18FECD64" w14:textId="77777777"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Tại khoản 15, Điều 4: “Cảng biển là khu vực bao gồm vùng đất cảng biển và vùng nước cảng biển, được xây dựng kết cấu hạ tầng, lắp đặt trang thiết bị cho tàu thuyền đến, rời để xếp dỡ, trung chuyển hàng hóa, đón trả hành khách và thực hiện dịch vụ khác. Cảng biển có một hoặc nhiều khu bến cảng, bến cảng” đề nghị cơ quan soạn thảo nghiên cứu chỉnh sửa rà soát lặp từ “bến cảng”.</w:t>
            </w:r>
          </w:p>
          <w:p w14:paraId="021A4701" w14:textId="203DE26D" w:rsidR="005E54B6" w:rsidRPr="000F1EC3" w:rsidRDefault="005E54B6" w:rsidP="005E54B6">
            <w:pPr>
              <w:shd w:val="clear" w:color="auto" w:fill="FFFFFF"/>
              <w:spacing w:before="20" w:after="20"/>
              <w:jc w:val="both"/>
              <w:rPr>
                <w:rFonts w:ascii="Times New Roman" w:hAnsi="Times New Roman"/>
                <w:sz w:val="24"/>
              </w:rPr>
            </w:pPr>
            <w:r w:rsidRPr="000F1EC3">
              <w:rPr>
                <w:rFonts w:ascii="Times New Roman" w:hAnsi="Times New Roman"/>
                <w:sz w:val="24"/>
              </w:rPr>
              <w:t>- Tại khoản 25 (Cảng thủy nội địa) Điều 4: Đề xuất chọn Phương án 2, vì phù hợp với điều kiện khai thác thực tế; không quy định cứng cảng thủy nội địa phải có từ 02 cầu cảng trở lên” như Phương án 1, qua đó bảo đảm phù hợp đối với các cảng có quy mô nhỏ nhưng vẫn hoạt động đầy đủ chức năng của cảng thủy nội địa.</w:t>
            </w:r>
          </w:p>
        </w:tc>
        <w:tc>
          <w:tcPr>
            <w:tcW w:w="2793" w:type="dxa"/>
            <w:vAlign w:val="center"/>
          </w:tcPr>
          <w:p w14:paraId="3986BB0B"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1. Tiếp thu, chỉnh sửa.</w:t>
            </w:r>
          </w:p>
          <w:p w14:paraId="4522A464" w14:textId="4F9569D9"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2. 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54EC4D6D" w14:textId="77777777" w:rsidTr="001B580E">
        <w:trPr>
          <w:gridAfter w:val="1"/>
          <w:wAfter w:w="8" w:type="dxa"/>
        </w:trPr>
        <w:tc>
          <w:tcPr>
            <w:tcW w:w="914" w:type="dxa"/>
            <w:vAlign w:val="center"/>
          </w:tcPr>
          <w:p w14:paraId="440B0E32"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72C79E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04DF97A"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4A686D59" w14:textId="77777777" w:rsidR="005E54B6" w:rsidRPr="000F1EC3" w:rsidRDefault="005E54B6" w:rsidP="005E54B6">
            <w:pPr>
              <w:tabs>
                <w:tab w:val="left" w:pos="851"/>
              </w:tabs>
              <w:spacing w:before="20" w:after="20"/>
              <w:jc w:val="both"/>
              <w:rPr>
                <w:rFonts w:ascii="Times New Roman" w:hAnsi="Times New Roman"/>
                <w:i/>
                <w:iCs/>
                <w:sz w:val="24"/>
              </w:rPr>
            </w:pPr>
            <w:r w:rsidRPr="000F1EC3">
              <w:rPr>
                <w:rFonts w:ascii="Times New Roman" w:hAnsi="Times New Roman"/>
                <w:sz w:val="24"/>
              </w:rPr>
              <w:t xml:space="preserve">- Tại khoản 1 đề nghị chỉnh sửa thành </w:t>
            </w:r>
            <w:r w:rsidRPr="000F1EC3">
              <w:rPr>
                <w:rFonts w:ascii="Times New Roman" w:hAnsi="Times New Roman"/>
                <w:i/>
                <w:iCs/>
                <w:sz w:val="24"/>
              </w:rPr>
              <w:t xml:space="preserve">“1. Hoạt động hàng hải, giao thông đường thủy nội địa phải bảo đảm an toàn, an ninh, </w:t>
            </w:r>
            <w:r w:rsidRPr="000F1EC3">
              <w:rPr>
                <w:rFonts w:ascii="Times New Roman" w:hAnsi="Times New Roman"/>
                <w:b/>
                <w:bCs/>
                <w:i/>
                <w:iCs/>
                <w:sz w:val="24"/>
                <w:u w:val="single"/>
              </w:rPr>
              <w:t>phòng, chống thiên tai</w:t>
            </w:r>
            <w:r w:rsidRPr="000F1EC3">
              <w:rPr>
                <w:rFonts w:ascii="Times New Roman" w:hAnsi="Times New Roman"/>
                <w:i/>
                <w:iCs/>
                <w:sz w:val="24"/>
              </w:rPr>
              <w:t>, bảo vệ môi trường; bảo đảm quốc phòng, an ninh; bảo vệ lợi ích, chủ quyền, quyền chủ quyền và quyền tài phán của nước Cộng hòa xã hội chủ nghĩa Việt Nam.”.</w:t>
            </w:r>
          </w:p>
          <w:p w14:paraId="2337D9BC" w14:textId="77777777" w:rsidR="005E54B6" w:rsidRPr="000F1EC3" w:rsidRDefault="005E54B6" w:rsidP="005E54B6">
            <w:pPr>
              <w:tabs>
                <w:tab w:val="left" w:pos="851"/>
              </w:tabs>
              <w:spacing w:before="20" w:after="20"/>
              <w:jc w:val="both"/>
              <w:rPr>
                <w:rFonts w:ascii="Times New Roman" w:hAnsi="Times New Roman"/>
                <w:sz w:val="24"/>
                <w:lang w:val="es-ES"/>
              </w:rPr>
            </w:pPr>
            <w:r w:rsidRPr="000F1EC3">
              <w:rPr>
                <w:rFonts w:ascii="Times New Roman" w:hAnsi="Times New Roman"/>
                <w:sz w:val="24"/>
              </w:rPr>
              <w:t>- Đề nghị bổ sung nội dung để đảm bảo phù hợp với khả năng đáp ứng của nguồn nước và không gây ô nhiễm nguồn nước và yêu cầu về bảo vệ lòng, bờ, bãi sông theo quy định tại Điều 48 Luật Tài nguyên nước.</w:t>
            </w:r>
          </w:p>
        </w:tc>
        <w:tc>
          <w:tcPr>
            <w:tcW w:w="2793" w:type="dxa"/>
            <w:vAlign w:val="center"/>
          </w:tcPr>
          <w:p w14:paraId="4EFA83C8" w14:textId="1F0E5D33"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giữ nguyên như dự thảo do nội dung này được thực hiện thảo Luật Phòng thủ dân sự và các Luật liên quan.</w:t>
            </w:r>
          </w:p>
          <w:p w14:paraId="30A8C076" w14:textId="1058344D" w:rsidR="0081493C" w:rsidRPr="000F1EC3" w:rsidRDefault="0081493C" w:rsidP="0081493C">
            <w:pPr>
              <w:spacing w:before="20" w:after="20"/>
              <w:jc w:val="both"/>
              <w:rPr>
                <w:rFonts w:ascii="Times New Roman" w:hAnsi="Times New Roman"/>
                <w:sz w:val="24"/>
              </w:rPr>
            </w:pPr>
          </w:p>
        </w:tc>
      </w:tr>
      <w:tr w:rsidR="005E54B6" w:rsidRPr="000F1EC3" w14:paraId="0C1D8D6A" w14:textId="77777777" w:rsidTr="001B580E">
        <w:trPr>
          <w:gridAfter w:val="1"/>
          <w:wAfter w:w="8" w:type="dxa"/>
        </w:trPr>
        <w:tc>
          <w:tcPr>
            <w:tcW w:w="914" w:type="dxa"/>
            <w:vAlign w:val="center"/>
          </w:tcPr>
          <w:p w14:paraId="08633148"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0665319"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08ECBE9"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11317DB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4:</w:t>
            </w:r>
          </w:p>
          <w:p w14:paraId="32B0A7A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xuất: Đồng thuận phân cấp, nhưng đề nghị xác định rõ đầu mối chịu trách nhiệm cuối cùng, thời hạn xử lý, cơ chế phối hợp giữa Trung ương – địa phương – Cảng vụ. Diễn giải: Báo cáo đánh giá tác động nêu dự thảo chuyển mạnh từ mô hình quản lý tập trung sang phân cấp, phân quyền gắn với kiểm soát, nhằm cải cách thủ tục và tạo thuận lợi cho tổ chức, cá nhân. Nếu không rõ trách nhiệm, phân cấp có thể biến thành nhiều tầng xin ý kiến.</w:t>
            </w:r>
          </w:p>
        </w:tc>
        <w:tc>
          <w:tcPr>
            <w:tcW w:w="2793" w:type="dxa"/>
            <w:vAlign w:val="center"/>
          </w:tcPr>
          <w:p w14:paraId="3E1D7BA7" w14:textId="57A0C4FF"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Tiếp thu, chỉnh sửa tại Điều 12 dự thảo.</w:t>
            </w:r>
          </w:p>
        </w:tc>
      </w:tr>
      <w:tr w:rsidR="005E54B6" w:rsidRPr="000F1EC3" w14:paraId="6E1C8506" w14:textId="77777777" w:rsidTr="001B580E">
        <w:trPr>
          <w:gridAfter w:val="1"/>
          <w:wAfter w:w="8" w:type="dxa"/>
        </w:trPr>
        <w:tc>
          <w:tcPr>
            <w:tcW w:w="914" w:type="dxa"/>
            <w:vAlign w:val="center"/>
          </w:tcPr>
          <w:p w14:paraId="64C6C385"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38479F02"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EABD377"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10DC3781"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lastRenderedPageBreak/>
              <w:t>(văn bản số 222/VMSC-ATHH ngày 11/5/206)</w:t>
            </w:r>
          </w:p>
        </w:tc>
        <w:tc>
          <w:tcPr>
            <w:tcW w:w="8872" w:type="dxa"/>
            <w:vAlign w:val="center"/>
          </w:tcPr>
          <w:p w14:paraId="6B49F6F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Đề nghị bổ sung khoản quy định “Tàu thuyền hoạt động trong vùng nước cảng biển, luồng hàng hải, tuyến hàng hải của Việt Nam phải sử dụng các ấn phẩm hàng hải do cơ quan có thẩm quyền của Việt Nam phát hành.</w:t>
            </w:r>
          </w:p>
          <w:p w14:paraId="0F94A79F" w14:textId="77777777" w:rsidR="005E54B6" w:rsidRPr="000F1EC3" w:rsidRDefault="005E54B6" w:rsidP="005E54B6">
            <w:pPr>
              <w:pStyle w:val="NormalWeb"/>
              <w:shd w:val="clear" w:color="auto" w:fill="FBFCFF"/>
              <w:spacing w:before="20" w:beforeAutospacing="0" w:after="20" w:afterAutospacing="0"/>
              <w:jc w:val="both"/>
              <w:rPr>
                <w:bCs/>
              </w:rPr>
            </w:pPr>
            <w:r w:rsidRPr="000F1EC3">
              <w:t xml:space="preserve">Lý do: </w:t>
            </w:r>
            <w:r w:rsidRPr="000F1EC3">
              <w:rPr>
                <w:bCs/>
              </w:rPr>
              <w:t>Bổ sung mục quy định vì các ấn phẩm hàng hải được mang trên tàu là yêu cầu bắt buộc của SOLAS. Việc quy định nguyên tắc này nhằm đảm bảo:</w:t>
            </w:r>
          </w:p>
          <w:p w14:paraId="54EF274C" w14:textId="77777777" w:rsidR="005E54B6" w:rsidRPr="000F1EC3" w:rsidRDefault="005E54B6" w:rsidP="005E54B6">
            <w:pPr>
              <w:pStyle w:val="NormalWeb"/>
              <w:shd w:val="clear" w:color="auto" w:fill="FBFCFF"/>
              <w:spacing w:before="20" w:beforeAutospacing="0" w:after="20" w:afterAutospacing="0"/>
              <w:jc w:val="both"/>
              <w:rPr>
                <w:bCs/>
              </w:rPr>
            </w:pPr>
            <w:r w:rsidRPr="000F1EC3">
              <w:rPr>
                <w:bCs/>
              </w:rPr>
              <w:lastRenderedPageBreak/>
              <w:t>- Sử dụng tài liệu chính thức, hợp pháp;</w:t>
            </w:r>
          </w:p>
          <w:p w14:paraId="75C372B6" w14:textId="77777777" w:rsidR="005E54B6" w:rsidRPr="000F1EC3" w:rsidRDefault="005E54B6" w:rsidP="005E54B6">
            <w:pPr>
              <w:pStyle w:val="NormalWeb"/>
              <w:shd w:val="clear" w:color="auto" w:fill="FBFCFF"/>
              <w:spacing w:before="20" w:beforeAutospacing="0" w:after="20" w:afterAutospacing="0"/>
              <w:jc w:val="both"/>
              <w:rPr>
                <w:bCs/>
              </w:rPr>
            </w:pPr>
            <w:r w:rsidRPr="000F1EC3">
              <w:rPr>
                <w:bCs/>
              </w:rPr>
              <w:t>- Khẳng định chủ quyền quốc gia;</w:t>
            </w:r>
          </w:p>
          <w:p w14:paraId="6614A3BB" w14:textId="77777777" w:rsidR="005E54B6" w:rsidRPr="000F1EC3" w:rsidRDefault="005E54B6" w:rsidP="005E54B6">
            <w:pPr>
              <w:pStyle w:val="NormalWeb"/>
              <w:shd w:val="clear" w:color="auto" w:fill="FBFCFF"/>
              <w:spacing w:before="20" w:beforeAutospacing="0" w:after="20" w:afterAutospacing="0"/>
              <w:jc w:val="both"/>
              <w:rPr>
                <w:bCs/>
              </w:rPr>
            </w:pPr>
            <w:r w:rsidRPr="000F1EC3">
              <w:rPr>
                <w:bCs/>
              </w:rPr>
              <w:t>- Khả năng cập nhật thông tin nhanh nhất, dễ kiểm soát nhất;</w:t>
            </w:r>
          </w:p>
          <w:p w14:paraId="40DA214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Cs/>
                <w:sz w:val="24"/>
              </w:rPr>
              <w:t>- Phù hợp với thông lệ .</w:t>
            </w:r>
          </w:p>
        </w:tc>
        <w:tc>
          <w:tcPr>
            <w:tcW w:w="2793" w:type="dxa"/>
            <w:vAlign w:val="center"/>
          </w:tcPr>
          <w:p w14:paraId="0B3AE980" w14:textId="3E6E9D7C"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Đề nghị giữ nguyên như dự thảo nhằm phòng ngừa phát sinh quy định lợi ích nhóm.</w:t>
            </w:r>
          </w:p>
        </w:tc>
      </w:tr>
      <w:tr w:rsidR="005E54B6" w:rsidRPr="000F1EC3" w14:paraId="2A91F0AB" w14:textId="77777777" w:rsidTr="001B580E">
        <w:trPr>
          <w:gridAfter w:val="1"/>
          <w:wAfter w:w="8" w:type="dxa"/>
        </w:trPr>
        <w:tc>
          <w:tcPr>
            <w:tcW w:w="914" w:type="dxa"/>
            <w:vAlign w:val="center"/>
          </w:tcPr>
          <w:p w14:paraId="7959410E"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021A82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63BBF25"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4D20E175" w14:textId="77777777" w:rsidR="005E54B6" w:rsidRPr="000F1EC3" w:rsidRDefault="005E54B6" w:rsidP="005E54B6">
            <w:pPr>
              <w:tabs>
                <w:tab w:val="left" w:pos="851"/>
              </w:tabs>
              <w:spacing w:before="20" w:after="20"/>
              <w:jc w:val="both"/>
              <w:rPr>
                <w:rFonts w:ascii="Times New Roman" w:hAnsi="Times New Roman"/>
                <w:sz w:val="24"/>
              </w:rPr>
            </w:pPr>
            <w:r w:rsidRPr="000F1EC3">
              <w:rPr>
                <w:rFonts w:ascii="Times New Roman" w:hAnsi="Times New Roman"/>
                <w:sz w:val="24"/>
              </w:rPr>
              <w:t>Đề nghị Bộ Xây dựng xem xét bổ sung thêm quy định “</w:t>
            </w:r>
            <w:r w:rsidRPr="000F1EC3">
              <w:rPr>
                <w:rFonts w:ascii="Times New Roman" w:hAnsi="Times New Roman"/>
                <w:i/>
                <w:iCs/>
                <w:sz w:val="24"/>
              </w:rPr>
              <w:t>Việc đầu tư, xây dựng kết cấu hạ tầng hàng hải, đường thủy nội địa phải bảo đảm sử dụng bền vững tài nguyên nước, duy trì khả năng thoát lũ, ổn định lòng dẫn và thích ứng biến đổi khí hậu</w:t>
            </w:r>
            <w:r w:rsidRPr="000F1EC3">
              <w:rPr>
                <w:rFonts w:ascii="Times New Roman" w:hAnsi="Times New Roman"/>
                <w:sz w:val="24"/>
              </w:rPr>
              <w:t>”.</w:t>
            </w:r>
          </w:p>
        </w:tc>
        <w:tc>
          <w:tcPr>
            <w:tcW w:w="2793" w:type="dxa"/>
            <w:vAlign w:val="center"/>
          </w:tcPr>
          <w:p w14:paraId="01761861" w14:textId="3E7A8BED"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đã được nghiên cứu, quy định phù hợp tại khoản 4 Điều 16 dự thảo.</w:t>
            </w:r>
          </w:p>
        </w:tc>
      </w:tr>
      <w:tr w:rsidR="005E54B6" w:rsidRPr="000F1EC3" w14:paraId="26B26105" w14:textId="77777777" w:rsidTr="001B580E">
        <w:trPr>
          <w:gridAfter w:val="1"/>
          <w:wAfter w:w="8" w:type="dxa"/>
        </w:trPr>
        <w:tc>
          <w:tcPr>
            <w:tcW w:w="914" w:type="dxa"/>
            <w:vAlign w:val="center"/>
          </w:tcPr>
          <w:p w14:paraId="3BCAA923"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8C780F6"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8AB4C69"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Quảng Ngãi (văn bản số 68/ĐBQH-CTQH ngày 8/5/2026)</w:t>
            </w:r>
          </w:p>
        </w:tc>
        <w:tc>
          <w:tcPr>
            <w:tcW w:w="8872" w:type="dxa"/>
            <w:vAlign w:val="center"/>
          </w:tcPr>
          <w:p w14:paraId="6E9F395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Nên bổ sung một khoản quy định về "Cơ chế thử nghiệm có kiểm soát (Sandbox)" đối với các công nghệ hàng hải mới (như tàu tự hành, nhiên liệu Hydrogen,…) để khuyến khích đổi mới sáng tạo như mục tiêu tại Điều 7.</w:t>
            </w:r>
          </w:p>
        </w:tc>
        <w:tc>
          <w:tcPr>
            <w:tcW w:w="2793" w:type="dxa"/>
            <w:vAlign w:val="center"/>
          </w:tcPr>
          <w:p w14:paraId="6D67158B" w14:textId="1927A3B2"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liên quan đến công nghệ mới đã được bổ sung mang tính nguyên tắc, các nội dung chi tiết sẽ được quy định tại các văn bản hướng dẫn thi hành.</w:t>
            </w:r>
          </w:p>
        </w:tc>
      </w:tr>
      <w:tr w:rsidR="005E54B6" w:rsidRPr="000F1EC3" w14:paraId="52E80F00" w14:textId="77777777" w:rsidTr="001B580E">
        <w:trPr>
          <w:gridAfter w:val="1"/>
          <w:wAfter w:w="8" w:type="dxa"/>
        </w:trPr>
        <w:tc>
          <w:tcPr>
            <w:tcW w:w="914" w:type="dxa"/>
            <w:vAlign w:val="center"/>
          </w:tcPr>
          <w:p w14:paraId="2440C978"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47DD376"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A265206"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Công Thương (văn bản số 3357/BCT-PC ngày 13/5/2026)</w:t>
            </w:r>
          </w:p>
        </w:tc>
        <w:tc>
          <w:tcPr>
            <w:tcW w:w="8872" w:type="dxa"/>
            <w:vAlign w:val="center"/>
          </w:tcPr>
          <w:p w14:paraId="3B25893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6 Điều 6 đã quy định về phát triển cảng xanh, cảng thông minh, vận tải phát thải thấp, thúc đẩy sử dụng công nghệ và nhiên liệu thay thế, từng bước loại bỏ phương tiện lạc hậu, tiêu hao nhiều năng lượng, phát thải cao. Đề nghị trong quá trình xây dựng văn bản hướng dẫn thi hành nghiên cứu bổ sung cơ chế ưu tiên, hỗ trợ các dự án ứng dụng công nghệ giảm phát thải, thu hồi các-bon trong hoạt động hàng hải và công nghiệp tàu thủy; đồng thời quy định tiêu chí, mức hiệu suất năng lượng tối thiểu đối với tàu thuyền đóng mới và phương tiện sử dụng nhiên liệu thay thế nhằm thúc đẩy sử dụng năng lượng tiết kiệm, hiệu quả trong lĩnh vực hàng hải và đường thủy nội địa.</w:t>
            </w:r>
          </w:p>
        </w:tc>
        <w:tc>
          <w:tcPr>
            <w:tcW w:w="2793" w:type="dxa"/>
            <w:vAlign w:val="center"/>
          </w:tcPr>
          <w:p w14:paraId="2A0D14EA" w14:textId="251BECB2"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triển khai thực hiện trong quá trình xây dựng văn bản hướng dẫn thi hành.</w:t>
            </w:r>
          </w:p>
        </w:tc>
      </w:tr>
      <w:tr w:rsidR="005E54B6" w:rsidRPr="000F1EC3" w14:paraId="5BB190CC" w14:textId="77777777" w:rsidTr="001B580E">
        <w:trPr>
          <w:gridAfter w:val="1"/>
          <w:wAfter w:w="8" w:type="dxa"/>
        </w:trPr>
        <w:tc>
          <w:tcPr>
            <w:tcW w:w="914" w:type="dxa"/>
            <w:vAlign w:val="center"/>
          </w:tcPr>
          <w:p w14:paraId="2B946378"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6B8BEB8"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87987AA"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5956511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1. Khoản 6, 7 và khoản 8 điểm d, đ</w:t>
            </w:r>
          </w:p>
          <w:p w14:paraId="5F727C8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Đề nghị cụ thể hóa ưu đãi thuế, phí, tín dụng, đất đai, thủ tục đầu tư cho doanh nghiệp cảng đầu tư điện bờ, thiết bị xếp dỡ tiết kiệm năng lượng, phương tiện sạch, năng lượng tái tạo, quản trị phát thải. </w:t>
            </w:r>
          </w:p>
          <w:p w14:paraId="462053A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Diễn giải: Dự thảo đã nêu chính sách ưu đãi về thuế, phí, tín dụng, đất đai đối với cảng xanh, cảng thông minh, nhiên liệu thay thế. Cần quy định đủ rõ để không chỉ là tuyên bố chính sách mà có thể triển khai trong 5 năm tới. </w:t>
            </w:r>
          </w:p>
          <w:p w14:paraId="6137381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2. Khoản 8 điểm e </w:t>
            </w:r>
          </w:p>
          <w:p w14:paraId="1E6FAA3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Đề nghị bổ sung cơ chế xã hội hóa nạo vét, thu hồi sản phẩm nạo vét, cơ chế hoàn vốn và trách nhiệm môi trường rõ ràng. </w:t>
            </w:r>
          </w:p>
          <w:p w14:paraId="3CE0D97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Diễn giải: Dự thảo đã nêu cơ chế ưu đãi, hỗ trợ đối với dự án nạo vét duy tu luồng hàng hải, luồng đường thủy nội địa và cơ chế đặc thù về khai thác tài nguyên để bù đắp chỉ phí. Nội dung này cần cụ thể hơn để doanh nghiệp cảng có thể tham gia.</w:t>
            </w:r>
          </w:p>
        </w:tc>
        <w:tc>
          <w:tcPr>
            <w:tcW w:w="2793" w:type="dxa"/>
            <w:vAlign w:val="center"/>
          </w:tcPr>
          <w:p w14:paraId="19047963" w14:textId="43C2CACC"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Các nội dung đã được rà soát, quy định tại Điều 6, Điều 8 dự thảo.</w:t>
            </w:r>
          </w:p>
        </w:tc>
      </w:tr>
      <w:tr w:rsidR="005E54B6" w:rsidRPr="000F1EC3" w14:paraId="4CBE60E2" w14:textId="77777777" w:rsidTr="001B580E">
        <w:trPr>
          <w:gridAfter w:val="1"/>
          <w:wAfter w:w="8" w:type="dxa"/>
        </w:trPr>
        <w:tc>
          <w:tcPr>
            <w:tcW w:w="914" w:type="dxa"/>
            <w:vAlign w:val="center"/>
          </w:tcPr>
          <w:p w14:paraId="460CC70A"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33C97C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698BD7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5CAA1D6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7 liệt kê nhiều đối tượng hưởng ưu đãi (cảng xanh, cảng thông minh, đội tàu nhiên liệu thay thế...) nhưng không xác định rõ điều kiện, mức ưu đãi, dẫn đến khó thi hành và thiếu căn cứ cho văn bản dưới luật. Đề nghị quy định cụ thể hơn về đối tượng, điều kiện và mức ưu đãi (không chỉ “ưu đãi về thuế, phí, tín dụng, đất đai”).</w:t>
            </w:r>
          </w:p>
        </w:tc>
        <w:tc>
          <w:tcPr>
            <w:tcW w:w="2793" w:type="dxa"/>
            <w:vAlign w:val="center"/>
          </w:tcPr>
          <w:p w14:paraId="0537E7A5" w14:textId="42FF0C46"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Đề xuất giữ nguyên như dự thảo do nội dung ưu đãi cụ thể sẽ được cụ thể hóa trong quá trình xây dựng văn bản hướng dẫn thực hiện.</w:t>
            </w:r>
          </w:p>
        </w:tc>
      </w:tr>
      <w:tr w:rsidR="005E54B6" w:rsidRPr="000F1EC3" w14:paraId="6E2E9782" w14:textId="77777777" w:rsidTr="001B580E">
        <w:trPr>
          <w:gridAfter w:val="1"/>
          <w:wAfter w:w="8" w:type="dxa"/>
        </w:trPr>
        <w:tc>
          <w:tcPr>
            <w:tcW w:w="914" w:type="dxa"/>
            <w:vAlign w:val="center"/>
          </w:tcPr>
          <w:p w14:paraId="3F94D69D"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4BFA1E6D"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56E09D2"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Hưng Yên (văn bản số 2188/SXD-QLKCHT ngày 12/5/2026)</w:t>
            </w:r>
          </w:p>
        </w:tc>
        <w:tc>
          <w:tcPr>
            <w:tcW w:w="8872" w:type="dxa"/>
            <w:vAlign w:val="center"/>
          </w:tcPr>
          <w:p w14:paraId="797BAF6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1 Điều 6. Chính sách phát triển hoạt động hàng hải và giao thông đường thủy nội địa, căn cứ vào các chính sách về phát triển hoạt động đường thủy nội địa (như Chỉ thị số 37/CT-TTg ngày 29/9/2020 về thúc đẩy phát triển vận tải thủy nội địa và vận tải ven biển bằng phương tiện thủy nội địa, Quyết định số 21/2022/QĐ-TTg ngày 09/11/2022 về cơ chế, chính sách khuyến khích phát triển giao thông vận tải đường thủy nội địa của Thủ tướng Chính phủ); đề nghị bổ sung nội dung về đường thủy nội địa để bảo đảm tính đầy đủ thành: Nhà nước có chính sách phát triển hàng hải, đường thủy nội địa phục vụ phát triển kinh tế - xã hội, kinh tế biển và bảo vệ tổ quốc.</w:t>
            </w:r>
          </w:p>
        </w:tc>
        <w:tc>
          <w:tcPr>
            <w:tcW w:w="2793" w:type="dxa"/>
            <w:vAlign w:val="center"/>
          </w:tcPr>
          <w:p w14:paraId="1904F4C3" w14:textId="70D34CF0"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rà soát và chỉnh sửa.</w:t>
            </w:r>
          </w:p>
        </w:tc>
      </w:tr>
      <w:tr w:rsidR="005E54B6" w:rsidRPr="000F1EC3" w14:paraId="1A78617C" w14:textId="77777777" w:rsidTr="001B580E">
        <w:trPr>
          <w:gridAfter w:val="1"/>
          <w:wAfter w:w="8" w:type="dxa"/>
        </w:trPr>
        <w:tc>
          <w:tcPr>
            <w:tcW w:w="914" w:type="dxa"/>
            <w:vAlign w:val="center"/>
          </w:tcPr>
          <w:p w14:paraId="0C7738B0"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54C65F2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93C2863"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73E64F07"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(Văn bản số 3107/BQP-PC ngày 11/5/2026)</w:t>
            </w:r>
          </w:p>
        </w:tc>
        <w:tc>
          <w:tcPr>
            <w:tcW w:w="8872" w:type="dxa"/>
            <w:vAlign w:val="center"/>
          </w:tcPr>
          <w:p w14:paraId="6572C36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3: Đề nghị bổ sung cụm từ “lưỡng dụng” vào sau cụm từ “phát triển hiện đại” và chỉnh lý lại thành “ Huy động tối đa các nguồn lực, đa dạng các hình thức, phương thức đầu tư, xây dựng, quản lý, vận hành, khai thác, bảo trì kết cấu hạ tầng hàng hải; đường thủy nội địa theo hướng phát triển hiện đại, lưỡng dụng, kết nối đồng bộ với các phương thức vận tải khác, phát huy hiệu quả đầu tư”</w:t>
            </w:r>
          </w:p>
        </w:tc>
        <w:tc>
          <w:tcPr>
            <w:tcW w:w="2793" w:type="dxa"/>
            <w:vAlign w:val="center"/>
          </w:tcPr>
          <w:p w14:paraId="7EBFADB8" w14:textId="2A4925DA"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Đề nghị giữ nguyên như dự thảo do cảng lưỡng dụng cũng là một phần của cảng, bến thủy nội địa.</w:t>
            </w:r>
          </w:p>
        </w:tc>
      </w:tr>
      <w:tr w:rsidR="005E54B6" w:rsidRPr="000F1EC3" w14:paraId="48F770CB" w14:textId="77777777" w:rsidTr="001B580E">
        <w:trPr>
          <w:gridAfter w:val="1"/>
          <w:wAfter w:w="8" w:type="dxa"/>
        </w:trPr>
        <w:tc>
          <w:tcPr>
            <w:tcW w:w="914" w:type="dxa"/>
            <w:vAlign w:val="center"/>
          </w:tcPr>
          <w:p w14:paraId="17408C6B"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257AB75"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8595F07"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379F59DF"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7747A10A" w14:textId="77777777" w:rsidR="005E54B6" w:rsidRPr="000F1EC3" w:rsidRDefault="005E54B6" w:rsidP="005E54B6">
            <w:pPr>
              <w:spacing w:before="20" w:after="20"/>
              <w:jc w:val="both"/>
              <w:rPr>
                <w:rFonts w:ascii="Times New Roman" w:hAnsi="Times New Roman"/>
                <w:bCs/>
                <w:sz w:val="24"/>
              </w:rPr>
            </w:pPr>
            <w:r w:rsidRPr="000F1EC3">
              <w:rPr>
                <w:rFonts w:ascii="Times New Roman" w:hAnsi="Times New Roman"/>
                <w:sz w:val="24"/>
              </w:rPr>
              <w:t>Đề nghị bổ sung nội dung “8a</w:t>
            </w:r>
            <w:r w:rsidRPr="000F1EC3">
              <w:rPr>
                <w:rFonts w:ascii="Times New Roman" w:hAnsi="Times New Roman"/>
                <w:bCs/>
                <w:sz w:val="24"/>
              </w:rPr>
              <w:t>. Nhà nước tổ chức cung cấp các dịch vụ bảo đảm an toàn hàng hải thông qua doanh nghiệp do Nhà nước nắm giữ 100% vốn điều lệ nhằm đảm bảo an toàn, an ninh hàng hải và bảo vệ môi  trường biển.”</w:t>
            </w:r>
          </w:p>
          <w:p w14:paraId="11FA057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Cs/>
                <w:sz w:val="24"/>
              </w:rPr>
              <w:t xml:space="preserve">Lý do: Các hệ thống đèn biển, AIS, VTS, dữ liệu thủy đạc, thông  tin an toàn hàng hải (MSI)… đều là </w:t>
            </w:r>
            <w:r w:rsidRPr="000F1EC3">
              <w:rPr>
                <w:rFonts w:ascii="Times New Roman" w:hAnsi="Times New Roman"/>
                <w:b/>
                <w:bCs/>
                <w:sz w:val="24"/>
              </w:rPr>
              <w:t>hạ tầng chiến lược</w:t>
            </w:r>
            <w:r w:rsidRPr="000F1EC3">
              <w:rPr>
                <w:rFonts w:ascii="Times New Roman" w:hAnsi="Times New Roman"/>
                <w:sz w:val="24"/>
              </w:rPr>
              <w:t xml:space="preserve"> liên quan</w:t>
            </w:r>
            <w:r w:rsidRPr="000F1EC3">
              <w:rPr>
                <w:rFonts w:ascii="Times New Roman" w:hAnsi="Times New Roman"/>
                <w:b/>
                <w:bCs/>
                <w:sz w:val="24"/>
              </w:rPr>
              <w:t xml:space="preserve"> trực tiếp</w:t>
            </w:r>
            <w:r w:rsidRPr="000F1EC3">
              <w:rPr>
                <w:rFonts w:ascii="Times New Roman" w:hAnsi="Times New Roman"/>
                <w:sz w:val="24"/>
              </w:rPr>
              <w:t xml:space="preserve"> đến chủ quyền, an ninh quốc phòng, an ninh biển và an toàn sinh mạng con người trên biển. Đặc biệt là các dữ liệu thủy đạc, dữ liệu tàu thuyền, thông tin an toàn… đều là dữ liệu nhạy cảm về an ninh. Vì vậy, việc nhà nước tổ chức cung cấp dịch vụ này là hoàn toàn phù hợp với các </w:t>
            </w:r>
            <w:r w:rsidRPr="000F1EC3">
              <w:rPr>
                <w:rFonts w:ascii="Times New Roman" w:hAnsi="Times New Roman"/>
                <w:b/>
                <w:bCs/>
                <w:sz w:val="24"/>
              </w:rPr>
              <w:t>mục tiêu tổng quát của Nghị quyết 79</w:t>
            </w:r>
            <w:r w:rsidRPr="000F1EC3">
              <w:rPr>
                <w:rFonts w:ascii="Times New Roman" w:hAnsi="Times New Roman"/>
                <w:sz w:val="24"/>
              </w:rPr>
              <w:t xml:space="preserve"> “Phát huy vai trò chủ đạo, tiên phong, định hướng chiến lược của kinh tế nhà nước trong những ngành, lĩnh vực then chốt, thiết yếu; thúc đẩy phát triển nhanh, bền </w:t>
            </w:r>
            <w:r w:rsidRPr="000F1EC3">
              <w:rPr>
                <w:rFonts w:ascii="Times New Roman" w:hAnsi="Times New Roman"/>
                <w:sz w:val="24"/>
              </w:rPr>
              <w:lastRenderedPageBreak/>
              <w:t xml:space="preserve">vững, bảo đảm quốc phòng, an ninh quốc gia tiến bộ, công bằng xã hội, nâng cao đời sống người dân; góp phần thực hiện thắng lợi mục tiêu đến năm 2030 trở thành nước đang phát triển có công nghiệp hiện đại, thu nhập trung bình cao; đến năm 2045 trở thành nước phát triển, thu nhập cao.” và </w:t>
            </w:r>
            <w:r w:rsidRPr="000F1EC3">
              <w:rPr>
                <w:rFonts w:ascii="Times New Roman" w:hAnsi="Times New Roman"/>
                <w:b/>
                <w:bCs/>
                <w:sz w:val="24"/>
              </w:rPr>
              <w:t>Báo cáo Chính trị của Ban Chấp hành Trung ương Đảng khóa XII tại Đại hội đại biểu toàn quốc lần thứ XIII</w:t>
            </w:r>
            <w:r w:rsidRPr="000F1EC3">
              <w:rPr>
                <w:rFonts w:ascii="Times New Roman" w:hAnsi="Times New Roman"/>
                <w:sz w:val="24"/>
              </w:rPr>
              <w:t xml:space="preserve"> của Đảng  có đề cập</w:t>
            </w:r>
            <w:r w:rsidRPr="000F1EC3">
              <w:rPr>
                <w:rFonts w:ascii="Times New Roman" w:hAnsi="Times New Roman"/>
                <w:b/>
                <w:bCs/>
                <w:sz w:val="24"/>
              </w:rPr>
              <w:t xml:space="preserve"> </w:t>
            </w:r>
            <w:r w:rsidRPr="000F1EC3">
              <w:rPr>
                <w:rFonts w:ascii="Times New Roman" w:hAnsi="Times New Roman"/>
                <w:sz w:val="24"/>
              </w:rPr>
              <w:t>“Doanh nghiệp nhà nước tập trung vào những lĩnh vực then chốt, thiết yếu; địa bàn quan trọng về quốc phòng, an ninh…”.</w:t>
            </w:r>
          </w:p>
          <w:p w14:paraId="3FB000B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Cs/>
                <w:sz w:val="24"/>
              </w:rPr>
              <w:t xml:space="preserve">Thực tế </w:t>
            </w:r>
            <w:r w:rsidRPr="000F1EC3">
              <w:rPr>
                <w:rFonts w:ascii="Times New Roman" w:hAnsi="Times New Roman"/>
                <w:b/>
                <w:sz w:val="24"/>
              </w:rPr>
              <w:t>Luật Hàng không</w:t>
            </w:r>
            <w:r w:rsidRPr="000F1EC3">
              <w:rPr>
                <w:rFonts w:ascii="Times New Roman" w:hAnsi="Times New Roman"/>
                <w:bCs/>
                <w:sz w:val="24"/>
              </w:rPr>
              <w:t xml:space="preserve"> năm 2025, Điều 47 quy định “</w:t>
            </w:r>
            <w:r w:rsidRPr="000F1EC3">
              <w:rPr>
                <w:rFonts w:ascii="Times New Roman" w:hAnsi="Times New Roman"/>
                <w:sz w:val="24"/>
              </w:rPr>
              <w:t>2. Nhà nước có trách nhiệm thiết lập, tổ chức doanh nghiệp để cung cấp dịch vụ quy định tại khoản 1 Điều này. Dịch vụ quy định tại điểm a và điểm d khoản 1 Điều này được thực hiện bởi doanh nghiệp do Nhà nước nắm giữ 100% vốn điều lệ.”;</w:t>
            </w:r>
            <w:r w:rsidRPr="000F1EC3">
              <w:rPr>
                <w:rFonts w:ascii="Times New Roman" w:hAnsi="Times New Roman"/>
                <w:bCs/>
                <w:sz w:val="24"/>
              </w:rPr>
              <w:t xml:space="preserve"> </w:t>
            </w:r>
            <w:r w:rsidRPr="000F1EC3">
              <w:rPr>
                <w:rFonts w:ascii="Times New Roman" w:hAnsi="Times New Roman"/>
                <w:b/>
                <w:sz w:val="24"/>
              </w:rPr>
              <w:t xml:space="preserve">Luật đường sắt, Điều 46 </w:t>
            </w:r>
            <w:r w:rsidRPr="000F1EC3">
              <w:rPr>
                <w:rFonts w:ascii="Times New Roman" w:hAnsi="Times New Roman"/>
                <w:bCs/>
                <w:sz w:val="24"/>
              </w:rPr>
              <w:t>quy định “</w:t>
            </w:r>
            <w:r w:rsidRPr="000F1EC3">
              <w:rPr>
                <w:rFonts w:ascii="Times New Roman" w:hAnsi="Times New Roman"/>
                <w:sz w:val="24"/>
              </w:rPr>
              <w:t>1. Kinh doanh kết cấu hạ tầng đường sắt là ngành, nghề kinh doanh có điều kiện…</w:t>
            </w:r>
          </w:p>
          <w:p w14:paraId="5E17601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8. Chính phủ quy định điều kiện kinh doanh kết cấu hạ tầng đường sắt; quyền, nghĩa vụ của doanh nghiệp kinh doanh kết cấu hạ tầng đường sắt.”.</w:t>
            </w:r>
          </w:p>
          <w:p w14:paraId="41CD36E1" w14:textId="77777777" w:rsidR="005E54B6" w:rsidRPr="000F1EC3" w:rsidRDefault="005E54B6" w:rsidP="005E54B6">
            <w:pPr>
              <w:spacing w:before="20" w:after="20"/>
              <w:jc w:val="both"/>
              <w:rPr>
                <w:rFonts w:ascii="Times New Roman" w:hAnsi="Times New Roman"/>
                <w:bCs/>
                <w:sz w:val="24"/>
              </w:rPr>
            </w:pPr>
            <w:r w:rsidRPr="000F1EC3">
              <w:rPr>
                <w:rFonts w:ascii="Times New Roman" w:hAnsi="Times New Roman"/>
                <w:bCs/>
                <w:sz w:val="24"/>
              </w:rPr>
              <w:t>Trong khi đó, lĩnh vực hàng hải, đặc biệt là hoạt động cung cấp dịch vụ bảo đảm an toàn hàng hải, hiện chưa có quy định đầy đủ, thống nhất về điều kiện kinh doanh tương ứng, dẫn đến khoảng trống pháp lý trong kiểm soát chất lượng dịch vụ và điều kiện cung cấp dịch vụ.</w:t>
            </w:r>
          </w:p>
          <w:p w14:paraId="78BF333F" w14:textId="77777777" w:rsidR="005E54B6" w:rsidRPr="000F1EC3" w:rsidRDefault="005E54B6" w:rsidP="005E54B6">
            <w:pPr>
              <w:spacing w:before="20" w:after="20"/>
              <w:jc w:val="both"/>
              <w:rPr>
                <w:rFonts w:ascii="Times New Roman" w:hAnsi="Times New Roman"/>
                <w:sz w:val="24"/>
              </w:rPr>
            </w:pPr>
          </w:p>
        </w:tc>
        <w:tc>
          <w:tcPr>
            <w:tcW w:w="2793" w:type="dxa"/>
            <w:vAlign w:val="center"/>
          </w:tcPr>
          <w:p w14:paraId="5A1DEC19" w14:textId="5FB7650B"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Đề nghị giữ nguyên như dự thảo nhằm đảm bảo phù hợp với chủ trương của Đảng, Nhà nước và Luật Tổ chức chính phủ.</w:t>
            </w:r>
          </w:p>
        </w:tc>
      </w:tr>
      <w:tr w:rsidR="005E54B6" w:rsidRPr="000F1EC3" w14:paraId="72002737" w14:textId="77777777" w:rsidTr="001B580E">
        <w:trPr>
          <w:gridAfter w:val="1"/>
          <w:wAfter w:w="8" w:type="dxa"/>
        </w:trPr>
        <w:tc>
          <w:tcPr>
            <w:tcW w:w="914" w:type="dxa"/>
            <w:vAlign w:val="center"/>
          </w:tcPr>
          <w:p w14:paraId="024839A4" w14:textId="77777777" w:rsidR="005E54B6" w:rsidRPr="000F1EC3" w:rsidRDefault="005E54B6" w:rsidP="005E54B6">
            <w:pPr>
              <w:spacing w:before="20" w:after="20"/>
              <w:rPr>
                <w:rFonts w:ascii="Times New Roman" w:hAnsi="Times New Roman"/>
                <w:b/>
                <w:bCs/>
                <w:sz w:val="24"/>
              </w:rPr>
            </w:pPr>
          </w:p>
        </w:tc>
        <w:tc>
          <w:tcPr>
            <w:tcW w:w="992" w:type="dxa"/>
            <w:vMerge w:val="restart"/>
            <w:vAlign w:val="center"/>
          </w:tcPr>
          <w:p w14:paraId="27D80CD7"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67159C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Công Thương (văn bản số 3357/BCT-PC ngày 13/5/2026)</w:t>
            </w:r>
          </w:p>
        </w:tc>
        <w:tc>
          <w:tcPr>
            <w:tcW w:w="8872" w:type="dxa"/>
            <w:vAlign w:val="center"/>
          </w:tcPr>
          <w:p w14:paraId="658E886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nghiên cứu bổ sung cơ chế hỗ trợ thương mại hóa kết quả nghiên cứu, ứng dụng công nghệ trong lĩnh vực hàng hải và đường thủy nội địa tại điểm d khoản 1 Điều 7; đồng thời xem xét xây dựng cơ chế thử nghiệm có kiểm soát (sandbox) đối với một số công nghệ mới nhằm thúc đẩy đổi mới sáng tạo và chuyển đổi số trong lĩnh vực hàng hải, đường thủy nội địa.</w:t>
            </w:r>
          </w:p>
        </w:tc>
        <w:tc>
          <w:tcPr>
            <w:tcW w:w="2793" w:type="dxa"/>
            <w:vAlign w:val="center"/>
          </w:tcPr>
          <w:p w14:paraId="2812BD98" w14:textId="3113DA4B"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Đề xuất giữ nguyên như dự thảo do nội dung ưu đãi cụ thể sẽ được cụ thể hóa trong quá trình xây dựng văn bản hướng dẫn thực hiện.</w:t>
            </w:r>
          </w:p>
        </w:tc>
      </w:tr>
      <w:tr w:rsidR="005E54B6" w:rsidRPr="000F1EC3" w14:paraId="6DC14341" w14:textId="77777777" w:rsidTr="001B580E">
        <w:trPr>
          <w:gridAfter w:val="1"/>
          <w:wAfter w:w="8" w:type="dxa"/>
        </w:trPr>
        <w:tc>
          <w:tcPr>
            <w:tcW w:w="914" w:type="dxa"/>
            <w:vAlign w:val="center"/>
          </w:tcPr>
          <w:p w14:paraId="0AED4F43"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4D066E91"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ACC977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Gia Lai (văn bản số 3648/SXD-GT ngày 11/5/2026)</w:t>
            </w:r>
          </w:p>
        </w:tc>
        <w:tc>
          <w:tcPr>
            <w:tcW w:w="8872" w:type="dxa"/>
            <w:vAlign w:val="center"/>
          </w:tcPr>
          <w:p w14:paraId="65DC054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bố cục lại các khoản trong Điều này cho phù hợp vì hiện tại, Điều này chỉ có 01 khoản.</w:t>
            </w:r>
          </w:p>
        </w:tc>
        <w:tc>
          <w:tcPr>
            <w:tcW w:w="2793" w:type="dxa"/>
            <w:vAlign w:val="center"/>
          </w:tcPr>
          <w:p w14:paraId="44C25199" w14:textId="7D43958D"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0A168D0B" w14:textId="77777777" w:rsidTr="001B580E">
        <w:trPr>
          <w:gridAfter w:val="1"/>
          <w:wAfter w:w="8" w:type="dxa"/>
        </w:trPr>
        <w:tc>
          <w:tcPr>
            <w:tcW w:w="914" w:type="dxa"/>
            <w:vAlign w:val="center"/>
          </w:tcPr>
          <w:p w14:paraId="2A3E0B4D"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29445806"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DF1A9DC"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Thanh tra Chính phủ</w:t>
            </w:r>
          </w:p>
          <w:p w14:paraId="7B0E21ED"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lastRenderedPageBreak/>
              <w:t>(Văn bản số 1317/ TTCP- C.VII ngày 07/5/2026)</w:t>
            </w:r>
          </w:p>
        </w:tc>
        <w:tc>
          <w:tcPr>
            <w:tcW w:w="8872" w:type="dxa"/>
            <w:vAlign w:val="center"/>
          </w:tcPr>
          <w:p w14:paraId="68388C76" w14:textId="08F67FE6"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Nội dung trong Dự thảo mới chỉ quy định về nguyên tắc, đề nghị bổ sung nội dung cụ thể của các hoạt động về nghiên cứu phát triển, ứng dụng khoa học công nghệ, chuyển đổi s</w:t>
            </w:r>
            <w:r w:rsidR="0081493C" w:rsidRPr="000F1EC3">
              <w:rPr>
                <w:rFonts w:ascii="Times New Roman" w:hAnsi="Times New Roman"/>
                <w:sz w:val="24"/>
              </w:rPr>
              <w:t>ố</w:t>
            </w:r>
            <w:r w:rsidRPr="000F1EC3">
              <w:rPr>
                <w:rFonts w:ascii="Times New Roman" w:hAnsi="Times New Roman"/>
                <w:sz w:val="24"/>
              </w:rPr>
              <w:t xml:space="preserve">....như: nghiên cứu phát triển, ứng dụng khoa học công nghệ, chuyển đổi số để nâng cao </w:t>
            </w:r>
            <w:r w:rsidRPr="000F1EC3">
              <w:rPr>
                <w:rFonts w:ascii="Times New Roman" w:hAnsi="Times New Roman"/>
                <w:sz w:val="24"/>
              </w:rPr>
              <w:lastRenderedPageBreak/>
              <w:t>hiệu quả quản lý, khai thác kết cấu hạ tầng hàng hải, đường thủy nội địa, quản lý tàu thuyền, đảm bảo an ninh, an toàn hàng hải, nâng cao hiệu quả kinh tế hoạt động hàng hải....hoặc bổ sung thêm quy định “Chính phủ quy định chi tiết điều này”.</w:t>
            </w:r>
          </w:p>
        </w:tc>
        <w:tc>
          <w:tcPr>
            <w:tcW w:w="2793" w:type="dxa"/>
            <w:vAlign w:val="center"/>
          </w:tcPr>
          <w:p w14:paraId="5C718560" w14:textId="721D82AF"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Tiếp thu, bổ sung tại dự thảo.</w:t>
            </w:r>
          </w:p>
        </w:tc>
      </w:tr>
      <w:tr w:rsidR="005E54B6" w:rsidRPr="000F1EC3" w14:paraId="1B898D8C" w14:textId="77777777" w:rsidTr="001B580E">
        <w:trPr>
          <w:gridAfter w:val="1"/>
          <w:wAfter w:w="8" w:type="dxa"/>
        </w:trPr>
        <w:tc>
          <w:tcPr>
            <w:tcW w:w="914" w:type="dxa"/>
            <w:vAlign w:val="center"/>
          </w:tcPr>
          <w:p w14:paraId="1E2D9852"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5639338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B7B2659"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6E7B0FC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xuất: Bổ sung nội dung khuyến khích phát triển cảng xanh, cảng thông minh.</w:t>
            </w:r>
          </w:p>
        </w:tc>
        <w:tc>
          <w:tcPr>
            <w:tcW w:w="2793" w:type="dxa"/>
            <w:vAlign w:val="center"/>
          </w:tcPr>
          <w:p w14:paraId="0219316B" w14:textId="140924CB"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bổ sung tại dự thảo.</w:t>
            </w:r>
          </w:p>
        </w:tc>
      </w:tr>
      <w:tr w:rsidR="005E54B6" w:rsidRPr="000F1EC3" w14:paraId="4288D09C" w14:textId="77777777" w:rsidTr="001B580E">
        <w:trPr>
          <w:gridAfter w:val="1"/>
          <w:wAfter w:w="8" w:type="dxa"/>
        </w:trPr>
        <w:tc>
          <w:tcPr>
            <w:tcW w:w="914" w:type="dxa"/>
            <w:vAlign w:val="center"/>
          </w:tcPr>
          <w:p w14:paraId="0707E5C5"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550659A2"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FA975FD"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Lào Cai (văn bản số 2441/SXD-VTPTNL ngày 8/5/2026)</w:t>
            </w:r>
          </w:p>
        </w:tc>
        <w:tc>
          <w:tcPr>
            <w:tcW w:w="8872" w:type="dxa"/>
            <w:vAlign w:val="center"/>
          </w:tcPr>
          <w:p w14:paraId="5320587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trình bày lại Điều 7 vì không có khoản 2 nên không cần trình bày theo bố cục điều - khoản - điểm.</w:t>
            </w:r>
          </w:p>
        </w:tc>
        <w:tc>
          <w:tcPr>
            <w:tcW w:w="2793" w:type="dxa"/>
            <w:vAlign w:val="center"/>
          </w:tcPr>
          <w:p w14:paraId="1AEE4990" w14:textId="4880D9B5"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3C32678F" w14:textId="77777777" w:rsidTr="001B580E">
        <w:trPr>
          <w:gridAfter w:val="1"/>
          <w:wAfter w:w="8" w:type="dxa"/>
        </w:trPr>
        <w:tc>
          <w:tcPr>
            <w:tcW w:w="914" w:type="dxa"/>
            <w:vAlign w:val="center"/>
          </w:tcPr>
          <w:p w14:paraId="15B7CC76"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472B91E6"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Điều 8</w:t>
            </w:r>
          </w:p>
        </w:tc>
        <w:tc>
          <w:tcPr>
            <w:tcW w:w="1620" w:type="dxa"/>
            <w:vAlign w:val="center"/>
          </w:tcPr>
          <w:p w14:paraId="6D8905E2"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Trường ĐHGTVT TP HCM (văn bản số 260511-02/CV-UTH-MLP ngày 11/5/2026)</w:t>
            </w:r>
          </w:p>
        </w:tc>
        <w:tc>
          <w:tcPr>
            <w:tcW w:w="8872" w:type="dxa"/>
            <w:vAlign w:val="center"/>
          </w:tcPr>
          <w:p w14:paraId="3CB3AD6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Tại khoản 6 Điều 8 Dự thảo Bộ luật có ghi nhận chính sách phát triển nguồn nhân lực chất lượng cao cho hoạt động hàng hải và thủy nội địa. Tuy nhiên, khi triển khai xây dựng, Dự thảo Bộ luật chỉ tập trung vào nguồn nhân lực công nghiệp tàu thủy. Trong khi đó, để đạt được mục tiêu của Dự thảo bộ luật phát triển hệ sinh thái kinh tế biển, cần có quy định đồng bộ về nguồn nhân lực của các ngành hệ sinh thái kinh tế biển như sau: nhóm ngành công nghiệp cốt lõi (kỹ thuật đóng tàu) + nhóm ngành công nghiệp hỗ trợ (bao gồm năng lượng ngoài khơi, cơ khí máy tàu, cơ khí vỏ/vật liệu mới vỏ tàu. Đề xuất: Một trong hai phương án sau: Phương án 1: Bổ sung quy định về chính sách phát triển của các ngành: năng lượng ngoài khơi, cơ khí máy tàu, cơ khí vỏ/vật liệu mới vỏ tàu (sửa lại quy định tại khoản 5 Điều 4 Dự thảo) Phương án 2: Bổ sung định nghĩa vào phần giải thích từ ngữ: công nghiệp tàu thủy là lĩnh vực bao gồm các nhóm ngành công nghiệp cốt lõi (kỹ thuật đóng tàu thủy) + nhóm ngành công nghiệp hỗ trợ (bao gồm năng lượng ngoài khơi, cơ khí máy tàu, cơ khí vỏ/vật liệu mới vỏ tàu. Đối với kỹ thuật tàu thủy hưởng các cơ chế khuyến khích theo Dự thảo vì thuộc nhóm ngành cốt lõi. Đối với ngành năng lượng ngoài khơi, cơ khí máy tàu, cơ khí vỏ/vật liệu mới vỏ tàu hưởng cơ chế hỗ trợ theo ngóm ngành công </w:t>
            </w:r>
            <w:r w:rsidRPr="000F1EC3">
              <w:rPr>
                <w:rFonts w:ascii="Times New Roman" w:hAnsi="Times New Roman"/>
                <w:sz w:val="24"/>
              </w:rPr>
              <w:lastRenderedPageBreak/>
              <w:t>nghiệp hỗ trợ. (sửa lại quy định tại khoản 6 Điều 4 Dự thảo) Trong trường hợp đó, cần lưu ý về hai vấn đề sau đây:</w:t>
            </w:r>
          </w:p>
          <w:p w14:paraId="5411386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Thay đổi thuật ngữ “công nghiệp phụ trợ” (trong dự thảo Bộ luật thành “công nghiệp hỗ trợ”. Bởi lẽ, Việt Nam hiện đang có Nghị định 31/VBHN-BCT ngày 4/8/2025 quy định về phát triển công nghiệp hỗ trợ (không có khái niệm phụ trợ). Tuy nhiên, Nghị định 31 này không có nhóm ngành công nghiệp của hàng hải. Do đó, sửa thuật ngữ liên quan và đề xuất sửa đổi bổ sung Nghị định 31 theo hướng tích nhóm nhóm ngành công nghiệp hỗ trợ hàng hải để thống nhất cơ chế và chính sách.</w:t>
            </w:r>
          </w:p>
          <w:p w14:paraId="33AD2F9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Trường hợp không thể đề xuất sửa đổi Nghị định 31 nói trên, đề nghị Ban soạn thảo bổ sung 1 khoản tại Điều 97 Dự thảo như sau: “Chính phủ quy định chi tiết cơ chế phát triển công nghiệp hỗ trợ tàu thuyền”.</w:t>
            </w:r>
          </w:p>
        </w:tc>
        <w:tc>
          <w:tcPr>
            <w:tcW w:w="2793" w:type="dxa"/>
            <w:vAlign w:val="center"/>
          </w:tcPr>
          <w:p w14:paraId="160796D7" w14:textId="2B4B9621"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Tiếp thu, chỉnh sửa.</w:t>
            </w:r>
          </w:p>
        </w:tc>
      </w:tr>
      <w:tr w:rsidR="005E54B6" w:rsidRPr="000F1EC3" w14:paraId="3DCD914C" w14:textId="77777777" w:rsidTr="001B580E">
        <w:trPr>
          <w:gridAfter w:val="1"/>
          <w:wAfter w:w="8" w:type="dxa"/>
        </w:trPr>
        <w:tc>
          <w:tcPr>
            <w:tcW w:w="914" w:type="dxa"/>
            <w:vAlign w:val="center"/>
          </w:tcPr>
          <w:p w14:paraId="22C24372"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1A22C68"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58E49E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0EB5FEA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1. Khoản 3: </w:t>
            </w:r>
          </w:p>
          <w:p w14:paraId="76F64CE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Đề nghị bổ sung nguyên tắc bảo mật dữ liệu khai thác cảng, dữ liệu khách hàng, hãng tàu, sản lượng, biểu giá, hợp đồng; cơ quan nhà nước chỉ yêu cầu dữ liệu cần thiết cho quản lý. </w:t>
            </w:r>
          </w:p>
          <w:p w14:paraId="61F1927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Diễn giải: Dự thảo có định hướng quản lý dữ liệu và thủ tục điện tử. Tuy nhiên, dữ liệu cảng là dữ liệu thương mại nhạy cảm; nếu không có nguyên tắc bảo vệ, doanh nghiệp có thể gặp rủi ro cạnh tranh và an ninh mạng.</w:t>
            </w:r>
          </w:p>
          <w:p w14:paraId="0B8C909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2. Cơ sở dữ liệu về hàng hải và đường thủy nội địa </w:t>
            </w:r>
          </w:p>
          <w:p w14:paraId="2A947F0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Cần quy định ngay từ trong Luật theo hướng doanh nghiệp chỉ cung cấp dữ liệu phục vụ quản lý nhà nước chuyên ngành, không bao gồm bí mật kinh doanh, dữ liệu khách hàng, điều kiện thương mại, dữ liệu hợp đồng, giá cước, phụ thu hoặc thông tin cạnh tranh nhạy cảm, trừ trường hợp pháp luật quy định cụ thể. </w:t>
            </w:r>
          </w:p>
          <w:p w14:paraId="1DDAC90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Diễn giải: Quy định xây dựng cơ sở dữ liệu chuyên ngành là cần thiết cho chuyển đổi số và quản lý nhà nước. Tuy nhiên, nghĩa vụ doanh nghiệp cung cấp dữ liệu đang được quy định rộng.</w:t>
            </w:r>
          </w:p>
          <w:p w14:paraId="6D5FBB7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3. Điều 8 và Điều 155–157: </w:t>
            </w:r>
          </w:p>
          <w:p w14:paraId="0CA7592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Đề nghị luật hóa nguyên tắc “một lần khai báo, nhiều cơ quan sử dụng"; tích hợp dữ liệu giữa Cảng vụ, Hải quan, Biên phòng, Kiểm dịch, doanh nghiệp cảng và hãng tàu. </w:t>
            </w:r>
          </w:p>
          <w:p w14:paraId="0B13614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Diễn giải: Từ 01/01/2024, IMO yêu cầu các quốc gia thành viên sử dụng Maritime Single Window để thu thập, trao đổi thông tin khi tàu đến, lưu lại và rời cảng. Luật Giao dịch điện tử 2023 của Việt Nam cũng tạo hành lang pháp lý chuyển hoạt động từ môi trường thực sang môi trường số trong mọi ngành, lĩnh vực.</w:t>
            </w:r>
          </w:p>
        </w:tc>
        <w:tc>
          <w:tcPr>
            <w:tcW w:w="2793" w:type="dxa"/>
            <w:vAlign w:val="center"/>
          </w:tcPr>
          <w:p w14:paraId="01874779" w14:textId="01B83FA7"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Đề nghị giữ nguyên như dự thảo do các nội dung được đề xuất đã được quy định tại các Luật liên quan như Luật An ninh mạng, Luật Chuyển đổi số...</w:t>
            </w:r>
          </w:p>
        </w:tc>
      </w:tr>
      <w:tr w:rsidR="005E54B6" w:rsidRPr="000F1EC3" w14:paraId="6CADFB57" w14:textId="77777777" w:rsidTr="001B580E">
        <w:trPr>
          <w:gridAfter w:val="1"/>
          <w:wAfter w:w="8" w:type="dxa"/>
        </w:trPr>
        <w:tc>
          <w:tcPr>
            <w:tcW w:w="914" w:type="dxa"/>
            <w:vAlign w:val="center"/>
          </w:tcPr>
          <w:p w14:paraId="124BEE20"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5FAF495"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7859907"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2B4C4B0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2 quy định cơ quan chuyên ngành “chủ trì” xây dựng cơ sở dữ liệu nhưng chưa quy định rõ nghĩa vụ kết nối, chia sẻ với các cơ quan an ninh, thuế quan. Kinh nghiệm của Singapore (PORTNET) cho thấy kết nối đa cơ quan là yêu cầu bắt buộc để vận hành cảng thông minh. Đề nghị bổ sung quy định về cơ chế chia sẻ dữ liệu bắt buộc giữa cơ sở dữ liệu hàng hải và đường thủy nội địa với hệ thống dữ liệu của Hải quan, Biên phòng, Bộ Công an nhằm đảm bảo an ninh và chống buôn lậu hiệu quả.</w:t>
            </w:r>
          </w:p>
        </w:tc>
        <w:tc>
          <w:tcPr>
            <w:tcW w:w="2793" w:type="dxa"/>
            <w:vAlign w:val="center"/>
          </w:tcPr>
          <w:p w14:paraId="28E823B1" w14:textId="69174DAB"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Đề nghị giữ nguyên như dự thảo do các nội dung được đề xuất đã được quy định tại các Luật liên quan như Luật An ninh mạng, Luật Chuyển đổi số...</w:t>
            </w:r>
          </w:p>
        </w:tc>
      </w:tr>
      <w:tr w:rsidR="005E54B6" w:rsidRPr="000F1EC3" w14:paraId="4914A7CC" w14:textId="77777777" w:rsidTr="001B580E">
        <w:trPr>
          <w:gridAfter w:val="1"/>
          <w:wAfter w:w="8" w:type="dxa"/>
        </w:trPr>
        <w:tc>
          <w:tcPr>
            <w:tcW w:w="914" w:type="dxa"/>
            <w:vAlign w:val="center"/>
          </w:tcPr>
          <w:p w14:paraId="4251BB6E"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5490312B" w14:textId="687DA08E" w:rsidR="005E54B6" w:rsidRPr="000F1EC3" w:rsidRDefault="00082F69" w:rsidP="005E54B6">
            <w:pPr>
              <w:spacing w:before="20" w:after="20"/>
              <w:jc w:val="center"/>
              <w:rPr>
                <w:rFonts w:ascii="Times New Roman" w:hAnsi="Times New Roman"/>
                <w:b/>
                <w:bCs/>
                <w:sz w:val="24"/>
              </w:rPr>
            </w:pPr>
            <w:r w:rsidRPr="000F1EC3">
              <w:rPr>
                <w:rFonts w:ascii="Times New Roman" w:hAnsi="Times New Roman"/>
                <w:b/>
                <w:bCs/>
                <w:sz w:val="24"/>
              </w:rPr>
              <w:t>Điều 9</w:t>
            </w:r>
          </w:p>
        </w:tc>
        <w:tc>
          <w:tcPr>
            <w:tcW w:w="1620" w:type="dxa"/>
            <w:vAlign w:val="center"/>
          </w:tcPr>
          <w:p w14:paraId="3ABB2007"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37C88B7A" w14:textId="77777777" w:rsidR="005E54B6" w:rsidRPr="000F1EC3" w:rsidRDefault="005E54B6"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Tại khoản 1 đề nghị bổ sung cụm từ </w:t>
            </w:r>
            <w:r w:rsidRPr="000F1EC3">
              <w:rPr>
                <w:rFonts w:ascii="Times New Roman" w:hAnsi="Times New Roman"/>
                <w:i/>
                <w:iCs/>
                <w:sz w:val="24"/>
              </w:rPr>
              <w:t xml:space="preserve">“...giảm phát thải; </w:t>
            </w:r>
            <w:r w:rsidRPr="000F1EC3">
              <w:rPr>
                <w:rFonts w:ascii="Times New Roman" w:hAnsi="Times New Roman"/>
                <w:b/>
                <w:bCs/>
                <w:i/>
                <w:iCs/>
                <w:sz w:val="24"/>
              </w:rPr>
              <w:t>thúc đẩy kinh tế tuần hoàn</w:t>
            </w:r>
            <w:r w:rsidRPr="000F1EC3">
              <w:rPr>
                <w:rFonts w:ascii="Times New Roman" w:hAnsi="Times New Roman"/>
                <w:i/>
                <w:iCs/>
                <w:sz w:val="24"/>
              </w:rPr>
              <w:t>; áp dụng các biện pháp phòng ngừa...”.</w:t>
            </w:r>
          </w:p>
          <w:p w14:paraId="239BA67B" w14:textId="77777777" w:rsidR="005E54B6" w:rsidRPr="000F1EC3" w:rsidRDefault="005E54B6" w:rsidP="005E54B6">
            <w:pPr>
              <w:tabs>
                <w:tab w:val="left" w:pos="851"/>
              </w:tabs>
              <w:spacing w:before="20" w:after="20"/>
              <w:jc w:val="both"/>
              <w:rPr>
                <w:rFonts w:ascii="Times New Roman" w:hAnsi="Times New Roman"/>
                <w:sz w:val="24"/>
              </w:rPr>
            </w:pPr>
            <w:r w:rsidRPr="000F1EC3">
              <w:rPr>
                <w:rFonts w:ascii="Times New Roman" w:hAnsi="Times New Roman"/>
                <w:sz w:val="24"/>
              </w:rPr>
              <w:t>- Tại khoản 3 đề nghị Bộ Xây dựng xem xét bổ sung quy định: Cảng biển, cảng thủy nội địa phải có hệ thống tiếp nhận, thu gom và lưu giữ chất thải từ tàu thuyền phù hợp với quy mô, loại hình tàu tiếp nhận và tuân thủ quy định về quản lý chất thải.</w:t>
            </w:r>
          </w:p>
          <w:p w14:paraId="254E8A63" w14:textId="77777777" w:rsidR="005E54B6" w:rsidRPr="000F1EC3" w:rsidRDefault="005E54B6"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Đề nghị bổ sung cụm từ </w:t>
            </w:r>
            <w:r w:rsidRPr="000F1EC3">
              <w:rPr>
                <w:rFonts w:ascii="Times New Roman" w:hAnsi="Times New Roman"/>
                <w:i/>
                <w:iCs/>
                <w:sz w:val="24"/>
              </w:rPr>
              <w:t>“bảo vệ tài nguyên nước</w:t>
            </w:r>
            <w:r w:rsidRPr="000F1EC3">
              <w:rPr>
                <w:rFonts w:ascii="Times New Roman" w:hAnsi="Times New Roman"/>
                <w:sz w:val="24"/>
              </w:rPr>
              <w:t>” đồng thời bổ sung nội dung để đảm bảo việc đầu tư, xây dựng bến thủy nội địa, cảng biển không lấn, lấp sông, suối, kênh, rạch trừ trường hợp pháp luật có quy định khác và bảo đảm lưu thông của dòng chảy, không gây cản trở thoát lũ và không gây hư hại,</w:t>
            </w:r>
            <w:r w:rsidRPr="000F1EC3">
              <w:rPr>
                <w:rFonts w:ascii="Times New Roman" w:hAnsi="Times New Roman"/>
                <w:i/>
                <w:iCs/>
                <w:sz w:val="24"/>
              </w:rPr>
              <w:t xml:space="preserve"> </w:t>
            </w:r>
            <w:r w:rsidRPr="000F1EC3">
              <w:rPr>
                <w:rFonts w:ascii="Times New Roman" w:hAnsi="Times New Roman"/>
                <w:sz w:val="24"/>
              </w:rPr>
              <w:t>sạt lở lòng, bờ, bãi sông</w:t>
            </w:r>
            <w:r w:rsidRPr="000F1EC3">
              <w:rPr>
                <w:rFonts w:ascii="Times New Roman" w:hAnsi="Times New Roman"/>
                <w:i/>
                <w:iCs/>
                <w:sz w:val="24"/>
              </w:rPr>
              <w:t xml:space="preserve"> </w:t>
            </w:r>
            <w:r w:rsidRPr="000F1EC3">
              <w:rPr>
                <w:rFonts w:ascii="Times New Roman" w:hAnsi="Times New Roman"/>
                <w:sz w:val="24"/>
              </w:rPr>
              <w:t>theo quy định tại Điều 48 Luật Tài nguyên nước và khoản 1 Điều 10 Luật số 146/2025/QH15 sửa đổi, bổ sung một số điều của 15 luật trong lĩnh vực nông nghiệp và môi trường.</w:t>
            </w:r>
          </w:p>
        </w:tc>
        <w:tc>
          <w:tcPr>
            <w:tcW w:w="2793" w:type="dxa"/>
            <w:vAlign w:val="center"/>
          </w:tcPr>
          <w:p w14:paraId="511FB94D" w14:textId="01062AB7"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đã được rà soát, tích hợp chung trong quy định tại Điều 8 dự thảo.</w:t>
            </w:r>
          </w:p>
        </w:tc>
      </w:tr>
      <w:tr w:rsidR="005E54B6" w:rsidRPr="000F1EC3" w14:paraId="57451373" w14:textId="77777777" w:rsidTr="001B580E">
        <w:trPr>
          <w:gridAfter w:val="1"/>
          <w:wAfter w:w="8" w:type="dxa"/>
        </w:trPr>
        <w:tc>
          <w:tcPr>
            <w:tcW w:w="914" w:type="dxa"/>
            <w:vAlign w:val="center"/>
          </w:tcPr>
          <w:p w14:paraId="38761B5F"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604D252"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2056038"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4349024F" w14:textId="5EE04222"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4 Điều 9: Cần xem xét lại quy định: “4. Ban hành kế hoạch thực hiện cam kết quốc tế của Việt Nam và chiến lược giảm phát thải khí nhà kính từ tàu của IMO theo quy định” để viết rõ tiếng Việt và có quy ước về viết tắt trong văn bản quy phạm pháp luật. Tương tự cần rà soát cách sử dụng ngôn ngữ không phải là tiếng Việt trong văn bản để phù hợp với quy định của pháp luật về ban h</w:t>
            </w:r>
            <w:r w:rsidR="0081493C" w:rsidRPr="000F1EC3">
              <w:rPr>
                <w:rFonts w:ascii="Times New Roman" w:hAnsi="Times New Roman"/>
                <w:sz w:val="24"/>
              </w:rPr>
              <w:t>ành</w:t>
            </w:r>
            <w:r w:rsidRPr="000F1EC3">
              <w:rPr>
                <w:rFonts w:ascii="Times New Roman" w:hAnsi="Times New Roman"/>
                <w:sz w:val="24"/>
              </w:rPr>
              <w:t xml:space="preserve"> văn bản quy phạm pháp luật.</w:t>
            </w:r>
          </w:p>
        </w:tc>
        <w:tc>
          <w:tcPr>
            <w:tcW w:w="2793" w:type="dxa"/>
            <w:vAlign w:val="center"/>
          </w:tcPr>
          <w:p w14:paraId="62EA72DA" w14:textId="031BE153" w:rsidR="0081493C"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38D77B31" w14:textId="77777777" w:rsidTr="001B580E">
        <w:trPr>
          <w:gridAfter w:val="1"/>
          <w:wAfter w:w="8" w:type="dxa"/>
        </w:trPr>
        <w:tc>
          <w:tcPr>
            <w:tcW w:w="914" w:type="dxa"/>
            <w:vAlign w:val="center"/>
          </w:tcPr>
          <w:p w14:paraId="1007FF18"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DD1E6C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890315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6EC0F16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Điều 9 quy định nguyên tắc chung nhưng chưa có cơ chế giám sát phát thải thực tế. Công ước quốc tế về ngăn ngừa ô nhiễm từ tàu biển (MARPOL) Phụ lục VI yêu cầu theo dõi tiêu thụ nhiên liệu và báo cáo phát thải (Hệ thống DCS/MRV). Nhiều quốc gia (EU, Nhật Bản, Hàn Quốc) đã quy định cụ thể tại luật chuyên ngành. Đề nghị bổ sung quy định về trách nhiệm cụ thể của chủ tàu trong việc lắp đặt thiết bị giám sát phát thải tự động và kết nối dữ liệu với cơ quan quản lý nhà nước, phù hợp với Công ước MARPOL Phụ lục VI và Chiến lược giảm phát thải IMO 2023.</w:t>
            </w:r>
          </w:p>
        </w:tc>
        <w:tc>
          <w:tcPr>
            <w:tcW w:w="2793" w:type="dxa"/>
            <w:vAlign w:val="center"/>
          </w:tcPr>
          <w:p w14:paraId="7AF8E0DD" w14:textId="6398ED0A"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dự kiến được quy định tại văn bản hướng dẫn thực hiện.</w:t>
            </w:r>
          </w:p>
        </w:tc>
      </w:tr>
      <w:tr w:rsidR="005E54B6" w:rsidRPr="000F1EC3" w14:paraId="5ED57866" w14:textId="77777777" w:rsidTr="001B580E">
        <w:trPr>
          <w:gridAfter w:val="1"/>
          <w:wAfter w:w="8" w:type="dxa"/>
        </w:trPr>
        <w:tc>
          <w:tcPr>
            <w:tcW w:w="914" w:type="dxa"/>
            <w:vAlign w:val="center"/>
          </w:tcPr>
          <w:p w14:paraId="3D9DD8D9"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B94D2B3"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763FD0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61EE29C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Đề nghị quy định theo lộ trình, tránh chồng chéo với Luật BVMT; ưu tiên cơ chế hỗ trợ chuyển đổi thay vì chỉ tăng nghĩa vụ báo cáo. </w:t>
            </w:r>
          </w:p>
          <w:p w14:paraId="08C6121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Diễn giải: Luật BVMT 2020 đã có hiệu lực từ 01/01/2022 và là luật nền về quản lý môi trường. Bộ luật Hàng hải nên quy định nguyên tắc chuyên ngành về chất thải từ tàu, nước dẳn, khí thải, tiếng ổn, điện bờ, nhưng không tạo thêm thủ tục trùng lặp.</w:t>
            </w:r>
          </w:p>
        </w:tc>
        <w:tc>
          <w:tcPr>
            <w:tcW w:w="2793" w:type="dxa"/>
            <w:vAlign w:val="center"/>
          </w:tcPr>
          <w:p w14:paraId="31B09874" w14:textId="44B3BD18"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được giao Chính phủ quy định chi tiết.</w:t>
            </w:r>
          </w:p>
        </w:tc>
      </w:tr>
      <w:tr w:rsidR="005E54B6" w:rsidRPr="000F1EC3" w14:paraId="4B4A1719" w14:textId="77777777" w:rsidTr="001B580E">
        <w:trPr>
          <w:gridAfter w:val="1"/>
          <w:wAfter w:w="8" w:type="dxa"/>
        </w:trPr>
        <w:tc>
          <w:tcPr>
            <w:tcW w:w="914" w:type="dxa"/>
            <w:vAlign w:val="center"/>
          </w:tcPr>
          <w:p w14:paraId="7D5CE053"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6F16DD3E"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Điều 11</w:t>
            </w:r>
          </w:p>
        </w:tc>
        <w:tc>
          <w:tcPr>
            <w:tcW w:w="1620" w:type="dxa"/>
            <w:vAlign w:val="center"/>
          </w:tcPr>
          <w:p w14:paraId="5B327C32"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3AD380ED"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(văn bản số 222/VMSC-ATHH ngày 11/5/206)</w:t>
            </w:r>
          </w:p>
        </w:tc>
        <w:tc>
          <w:tcPr>
            <w:tcW w:w="8872" w:type="dxa"/>
            <w:vAlign w:val="center"/>
          </w:tcPr>
          <w:p w14:paraId="5F05DA1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bổ sung khoản quy định “Phá hoại, làm hư hỏng hoặc can thiệp trái phép vào hệ thống hỗ trợ hành hải.”</w:t>
            </w:r>
          </w:p>
          <w:p w14:paraId="7E8D787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Lý do: Bộ luật Hàng hải 2015 chưa có quy định: bảo vệ hệ thống số, hệ thống điện tử phục vụ hỗ trợ hành hải, bảo vệ dữ liệu thủy đạc, ngăn chặn phát tán thông tin hàng hải sai lệch; vì vậy cần bổ cơ chế bảo vệ các hệ thống này (AIS, VTS, ENC, SMART Lighthouse…).</w:t>
            </w:r>
          </w:p>
        </w:tc>
        <w:tc>
          <w:tcPr>
            <w:tcW w:w="2793" w:type="dxa"/>
            <w:vAlign w:val="center"/>
          </w:tcPr>
          <w:p w14:paraId="1452E5E4" w14:textId="67CFFC29"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Đề nghị giữ nguyên như dự thảo do thảo đã có quy định về an ninh, an toàn, ...</w:t>
            </w:r>
          </w:p>
        </w:tc>
      </w:tr>
      <w:tr w:rsidR="005E54B6" w:rsidRPr="000F1EC3" w14:paraId="7C9C0BC5" w14:textId="77777777" w:rsidTr="001B580E">
        <w:trPr>
          <w:gridAfter w:val="1"/>
          <w:wAfter w:w="8" w:type="dxa"/>
        </w:trPr>
        <w:tc>
          <w:tcPr>
            <w:tcW w:w="914" w:type="dxa"/>
            <w:vAlign w:val="center"/>
          </w:tcPr>
          <w:p w14:paraId="7464E78E"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5E142BB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6DF0D49"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Bộ NNMT (văn bản số 4798/BNNMT-PC ngày 13/5/2026)</w:t>
            </w:r>
          </w:p>
        </w:tc>
        <w:tc>
          <w:tcPr>
            <w:tcW w:w="8872" w:type="dxa"/>
            <w:vAlign w:val="center"/>
          </w:tcPr>
          <w:p w14:paraId="760D8D9F" w14:textId="77777777" w:rsidR="005E54B6" w:rsidRPr="000F1EC3" w:rsidRDefault="005E54B6" w:rsidP="005E54B6">
            <w:pPr>
              <w:tabs>
                <w:tab w:val="left" w:pos="851"/>
              </w:tabs>
              <w:spacing w:before="20" w:after="20"/>
              <w:jc w:val="both"/>
              <w:rPr>
                <w:rFonts w:ascii="Times New Roman" w:hAnsi="Times New Roman"/>
                <w:spacing w:val="-2"/>
                <w:sz w:val="24"/>
              </w:rPr>
            </w:pPr>
            <w:r w:rsidRPr="000F1EC3">
              <w:rPr>
                <w:rFonts w:ascii="Times New Roman" w:hAnsi="Times New Roman"/>
                <w:b/>
                <w:bCs/>
                <w:spacing w:val="-2"/>
                <w:sz w:val="24"/>
              </w:rPr>
              <w:t xml:space="preserve">- </w:t>
            </w:r>
            <w:r w:rsidRPr="000F1EC3">
              <w:rPr>
                <w:rFonts w:ascii="Times New Roman" w:hAnsi="Times New Roman"/>
                <w:spacing w:val="-2"/>
                <w:sz w:val="24"/>
              </w:rPr>
              <w:t xml:space="preserve">Tại khoản 5 quy định cấm </w:t>
            </w:r>
            <w:r w:rsidRPr="000F1EC3">
              <w:rPr>
                <w:rFonts w:ascii="Times New Roman" w:hAnsi="Times New Roman"/>
                <w:i/>
                <w:iCs/>
                <w:spacing w:val="-2"/>
                <w:sz w:val="24"/>
              </w:rPr>
              <w:t>“đặt cố định ngư cụ, phương tiện khai thác, nuôi trồng thủy sản hoặc thực hiện hoạt động khác trái pháp luật trong luồng, vùng nước, hành lang bảo vệ luồng …”,</w:t>
            </w:r>
            <w:r w:rsidRPr="000F1EC3">
              <w:rPr>
                <w:rFonts w:ascii="Times New Roman" w:hAnsi="Times New Roman"/>
                <w:spacing w:val="-2"/>
                <w:sz w:val="24"/>
              </w:rPr>
              <w:t xml:space="preserve"> quy định này dễ gây hiểu nhầm là cấm tuyệt đối hoạt động thủy sản trong khu vực luồng, vùng nước mà chưa phân định phạm vi quản lý cụ thể. Ngoài ra, thực tế có nhiều khu vực nuôi biển, khai thác thủy sản hợp pháp đang tồn tại và có tính chất ổn định. Do đó, đề nghị quy định theo hướng: </w:t>
            </w:r>
            <w:r w:rsidRPr="000F1EC3">
              <w:rPr>
                <w:rFonts w:ascii="Times New Roman" w:hAnsi="Times New Roman"/>
                <w:i/>
                <w:iCs/>
                <w:spacing w:val="-2"/>
                <w:sz w:val="24"/>
              </w:rPr>
              <w:t>“Đặt cố định ngư cụ, lồng bè nuôi trồng thủy sản, phương tiện khai thác thủy sản trái pháp luật gây cản trở hoặc ảnh hưởng đến an toàn hàng hải, giao thông đường thủy nội địa…”</w:t>
            </w:r>
            <w:r w:rsidRPr="000F1EC3">
              <w:rPr>
                <w:rFonts w:ascii="Times New Roman" w:hAnsi="Times New Roman"/>
                <w:spacing w:val="-2"/>
                <w:sz w:val="24"/>
              </w:rPr>
              <w:t xml:space="preserve"> để tránh hiểu nhầm về nội dung cấm như đã nêu trên. </w:t>
            </w:r>
          </w:p>
          <w:p w14:paraId="00FF0061" w14:textId="77777777" w:rsidR="005E54B6" w:rsidRPr="000F1EC3" w:rsidRDefault="005E54B6" w:rsidP="005E54B6">
            <w:pPr>
              <w:tabs>
                <w:tab w:val="left" w:pos="851"/>
              </w:tabs>
              <w:spacing w:before="20" w:after="20"/>
              <w:jc w:val="both"/>
              <w:rPr>
                <w:rFonts w:ascii="Times New Roman" w:hAnsi="Times New Roman"/>
                <w:iCs/>
                <w:spacing w:val="-2"/>
                <w:sz w:val="24"/>
              </w:rPr>
            </w:pPr>
            <w:r w:rsidRPr="000F1EC3">
              <w:rPr>
                <w:rFonts w:ascii="Times New Roman" w:hAnsi="Times New Roman"/>
                <w:spacing w:val="-2"/>
                <w:sz w:val="24"/>
              </w:rPr>
              <w:t xml:space="preserve">Ngoài ra, khoản 5 còn quy định </w:t>
            </w:r>
            <w:r w:rsidRPr="000F1EC3">
              <w:rPr>
                <w:rFonts w:ascii="Times New Roman" w:hAnsi="Times New Roman"/>
                <w:i/>
                <w:spacing w:val="-2"/>
                <w:sz w:val="24"/>
              </w:rPr>
              <w:t xml:space="preserve">“Đổ, thải, nhận chìm, tập kết trái phép đất, đá, cát, sỏi, bùn, chất thải hoặc vật chất khác;…” </w:t>
            </w:r>
            <w:r w:rsidRPr="000F1EC3">
              <w:rPr>
                <w:rFonts w:ascii="Times New Roman" w:hAnsi="Times New Roman"/>
                <w:iCs/>
                <w:spacing w:val="-2"/>
                <w:sz w:val="24"/>
              </w:rPr>
              <w:t>đề nghị rà soát các quy định liên quan đến nhận chìm, đổ thải trên biển theo hướng dẫn chiếu cụ thể đến pháp luật về bảo vệ môi trường và pháp luật về tài nguyên, môi trường biển và hải đảo, tránh trùng lặp hoặc phát sinh cách hiểu khác nhau trong tổ chức thực hiện.</w:t>
            </w:r>
          </w:p>
          <w:p w14:paraId="51BE4734" w14:textId="77777777" w:rsidR="005E54B6" w:rsidRPr="000F1EC3" w:rsidRDefault="005E54B6" w:rsidP="005E54B6">
            <w:pPr>
              <w:tabs>
                <w:tab w:val="left" w:pos="851"/>
              </w:tabs>
              <w:spacing w:before="20" w:after="20"/>
              <w:jc w:val="both"/>
              <w:rPr>
                <w:rFonts w:ascii="Times New Roman" w:hAnsi="Times New Roman"/>
                <w:sz w:val="24"/>
              </w:rPr>
            </w:pPr>
            <w:r w:rsidRPr="000F1EC3">
              <w:rPr>
                <w:rFonts w:ascii="Times New Roman" w:hAnsi="Times New Roman"/>
                <w:sz w:val="24"/>
              </w:rPr>
              <w:t>- Đề nghị Bộ Xây dựng xem xét bổ sung thêm hành vi “</w:t>
            </w:r>
            <w:r w:rsidRPr="000F1EC3">
              <w:rPr>
                <w:rFonts w:ascii="Times New Roman" w:hAnsi="Times New Roman"/>
                <w:i/>
                <w:iCs/>
                <w:sz w:val="24"/>
              </w:rPr>
              <w:t>Nghiêm cấm đầu tư, xây dựng, khai thác công trình gây ảnh hưởng nghiêm trọng đến ổn định dòng chảy, khả năng thoát lũ, an toàn công trình thủy lợi, đê điều</w:t>
            </w:r>
            <w:r w:rsidRPr="000F1EC3">
              <w:rPr>
                <w:rFonts w:ascii="Times New Roman" w:hAnsi="Times New Roman"/>
                <w:sz w:val="24"/>
              </w:rPr>
              <w:t>.”.</w:t>
            </w:r>
          </w:p>
          <w:p w14:paraId="0BBE780D" w14:textId="77777777" w:rsidR="005E54B6" w:rsidRPr="000F1EC3" w:rsidRDefault="005E54B6" w:rsidP="005E54B6">
            <w:pPr>
              <w:tabs>
                <w:tab w:val="left" w:pos="851"/>
              </w:tabs>
              <w:spacing w:before="20" w:after="20"/>
              <w:jc w:val="both"/>
              <w:rPr>
                <w:rFonts w:ascii="Times New Roman" w:hAnsi="Times New Roman"/>
                <w:sz w:val="24"/>
              </w:rPr>
            </w:pPr>
            <w:r w:rsidRPr="000F1EC3">
              <w:rPr>
                <w:rFonts w:ascii="Times New Roman" w:hAnsi="Times New Roman"/>
                <w:sz w:val="24"/>
              </w:rPr>
              <w:t xml:space="preserve">- Đề nghị bổ sung nội dung cấm xả nước thải chưa được xử lý đạt quy chuẩn kỹ thuật môi trường vào vùng nước cảng biển, đường thủy nội địa; xả nước thải, chất thải vào vùng bảo </w:t>
            </w:r>
            <w:r w:rsidRPr="000F1EC3">
              <w:rPr>
                <w:rFonts w:ascii="Times New Roman" w:hAnsi="Times New Roman"/>
                <w:sz w:val="24"/>
              </w:rPr>
              <w:lastRenderedPageBreak/>
              <w:t>hộ vệ sinh khu vực lấy nước sinh hoạt để đảm bảo đáp ứng quy định tại Điều 8 Luật Tài nguyên nước.</w:t>
            </w:r>
          </w:p>
        </w:tc>
        <w:tc>
          <w:tcPr>
            <w:tcW w:w="2793" w:type="dxa"/>
            <w:vAlign w:val="center"/>
          </w:tcPr>
          <w:p w14:paraId="5A98F8B7" w14:textId="77777777"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Nội dung quy định kế thừa từ Luật Giao thông đường thủy nội địa năm 2004, sửa đổi, bổ sung năm 2015 và chỉ áp dụng với trường hợp thực hiện không đúng quy định.</w:t>
            </w:r>
          </w:p>
          <w:p w14:paraId="251047B7" w14:textId="304F0937" w:rsidR="0081493C"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số 3, 4 đề xuất bổ sung tại pháp luật chuyên ngành tương ứng.</w:t>
            </w:r>
          </w:p>
        </w:tc>
      </w:tr>
      <w:tr w:rsidR="005E54B6" w:rsidRPr="000F1EC3" w14:paraId="68BDCDD2" w14:textId="77777777" w:rsidTr="001B580E">
        <w:trPr>
          <w:gridAfter w:val="1"/>
          <w:wAfter w:w="8" w:type="dxa"/>
        </w:trPr>
        <w:tc>
          <w:tcPr>
            <w:tcW w:w="914" w:type="dxa"/>
            <w:vAlign w:val="center"/>
          </w:tcPr>
          <w:p w14:paraId="097C9209"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AFB145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D487332"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Quảng Ngãi (văn bản số 3298/SXD-ATGT ngày 11/5/2026)</w:t>
            </w:r>
          </w:p>
        </w:tc>
        <w:tc>
          <w:tcPr>
            <w:tcW w:w="8872" w:type="dxa"/>
            <w:vAlign w:val="center"/>
          </w:tcPr>
          <w:p w14:paraId="3F782F5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Bổ sung: Cố ý thực hiện các hành vi trái pháp luật làm tổn hại, mất, hư hỏng kết cấu hạ tầng hàng hải, đường thủy nội địa; tạo vật chướng ngại gây cản trở giao thông hàng hải, đường thủy nội địa. Giải thích đề nghị bổ sung: Kế thừa quy định của Bộ luật Hàng hải Việt Nam năm 2015.</w:t>
            </w:r>
          </w:p>
        </w:tc>
        <w:tc>
          <w:tcPr>
            <w:tcW w:w="2793" w:type="dxa"/>
            <w:vAlign w:val="center"/>
          </w:tcPr>
          <w:p w14:paraId="00BCDED9" w14:textId="1D0075A6"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 xml:space="preserve">Nội dung đã được quy định tại khoản 3 Điều này. </w:t>
            </w:r>
          </w:p>
        </w:tc>
      </w:tr>
      <w:tr w:rsidR="005E54B6" w:rsidRPr="000F1EC3" w14:paraId="4E548370" w14:textId="77777777" w:rsidTr="001B580E">
        <w:trPr>
          <w:gridAfter w:val="1"/>
          <w:wAfter w:w="8" w:type="dxa"/>
        </w:trPr>
        <w:tc>
          <w:tcPr>
            <w:tcW w:w="914" w:type="dxa"/>
            <w:vAlign w:val="center"/>
          </w:tcPr>
          <w:p w14:paraId="548DEAD3"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376776B"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2D02AB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1704CA4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8 quy định cấm điều khiển tàu “trong tình trạng có nồng độ cồn” nhưng không xác định ngưỡng cụ thể như Luật Phòng chống tác hại rượu bia 2019 đã quy định cho đường bộ. Sự thiếu nhất quán gây khó khăn cho lực lượng tuần tra và xử lý vi phạm. Đề nghị bổ sung quy định ngưỡng nồng độ cồn cụ thể (ví dụ: không được vượt quá 50mg/100ml máu hoặc 0,25mg/1 lít khí thở) tại điều khoản cấm, thay vì chỉ quy định chung “có nồng độ cồn trong máu hoặc hơi thở” để thống nhất với Luật Phòng chống tác hại rượu, bia.</w:t>
            </w:r>
          </w:p>
        </w:tc>
        <w:tc>
          <w:tcPr>
            <w:tcW w:w="2793" w:type="dxa"/>
            <w:vAlign w:val="center"/>
          </w:tcPr>
          <w:p w14:paraId="2DD137C0" w14:textId="015B6E74"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Đề nghị giữ nguyên như dự thảo để đảm bảo phù hợp với quy định tại khoản 6 Điều 5 Luật Phòng chống tác hại rượu bia 2019.</w:t>
            </w:r>
          </w:p>
        </w:tc>
      </w:tr>
      <w:tr w:rsidR="005E54B6" w:rsidRPr="000F1EC3" w14:paraId="12612B07" w14:textId="77777777" w:rsidTr="001B580E">
        <w:trPr>
          <w:gridAfter w:val="1"/>
          <w:wAfter w:w="8" w:type="dxa"/>
        </w:trPr>
        <w:tc>
          <w:tcPr>
            <w:tcW w:w="914" w:type="dxa"/>
            <w:vAlign w:val="center"/>
          </w:tcPr>
          <w:p w14:paraId="1B432C7E"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7B0E9837"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Điều 12</w:t>
            </w:r>
          </w:p>
        </w:tc>
        <w:tc>
          <w:tcPr>
            <w:tcW w:w="1620" w:type="dxa"/>
            <w:vAlign w:val="center"/>
          </w:tcPr>
          <w:p w14:paraId="79F269E4"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Quảng Ngãi (văn bản số 3298/SXD-AYGT ngày 11/5/2026)</w:t>
            </w:r>
          </w:p>
        </w:tc>
        <w:tc>
          <w:tcPr>
            <w:tcW w:w="8872" w:type="dxa"/>
            <w:vAlign w:val="center"/>
          </w:tcPr>
          <w:p w14:paraId="63D5500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Bổ sung: “4. Tuyên truyền, phổ biến, giáo dục pháp luật về giao thông hàng hải, đường thủy nội địa; hướng dẫn, kiểm tra việc thực hiện các biện pháp bảo đảm an toàn giao thông hàng hải, đường thủy nội địa”. Giải thích đề nghị bổ sung: Kế thừa quy định của Luật giao thông đường thủy nội địa năm 2004, sửa đổi, bổ sung năm 2014. Rà soát, tích hợp các nội dung về quản lý nhà nước ở cả hai lĩnh vực vào 01 Điều.</w:t>
            </w:r>
          </w:p>
        </w:tc>
        <w:tc>
          <w:tcPr>
            <w:tcW w:w="2793" w:type="dxa"/>
            <w:vAlign w:val="center"/>
          </w:tcPr>
          <w:p w14:paraId="096C14A8" w14:textId="4F0BC697"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rà soát, sửa đổi tại Điều 12 dự thảo.</w:t>
            </w:r>
          </w:p>
        </w:tc>
      </w:tr>
      <w:tr w:rsidR="005E54B6" w:rsidRPr="000F1EC3" w14:paraId="6B82EE40" w14:textId="77777777" w:rsidTr="001B580E">
        <w:trPr>
          <w:gridAfter w:val="1"/>
          <w:wAfter w:w="8" w:type="dxa"/>
        </w:trPr>
        <w:tc>
          <w:tcPr>
            <w:tcW w:w="914" w:type="dxa"/>
            <w:vAlign w:val="center"/>
          </w:tcPr>
          <w:p w14:paraId="34BC75A6"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3CFA2D6F"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4ADC3C7"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793C9BEE" w14:textId="77777777" w:rsidR="005E54B6" w:rsidRPr="000F1EC3" w:rsidRDefault="005E54B6" w:rsidP="005E54B6">
            <w:pPr>
              <w:tabs>
                <w:tab w:val="left" w:pos="851"/>
              </w:tabs>
              <w:spacing w:before="20" w:after="20"/>
              <w:jc w:val="both"/>
              <w:rPr>
                <w:rFonts w:ascii="Times New Roman" w:hAnsi="Times New Roman"/>
                <w:spacing w:val="-2"/>
                <w:sz w:val="24"/>
              </w:rPr>
            </w:pPr>
            <w:r w:rsidRPr="000F1EC3">
              <w:rPr>
                <w:rFonts w:ascii="Times New Roman" w:hAnsi="Times New Roman"/>
                <w:spacing w:val="-2"/>
                <w:sz w:val="24"/>
                <w:lang w:val="en-GB"/>
              </w:rPr>
              <w:t xml:space="preserve">- Tại khoản 5 </w:t>
            </w:r>
            <w:r w:rsidRPr="000F1EC3">
              <w:rPr>
                <w:rFonts w:ascii="Times New Roman" w:hAnsi="Times New Roman"/>
                <w:spacing w:val="-2"/>
                <w:sz w:val="24"/>
              </w:rPr>
              <w:t xml:space="preserve">quy định một trong những nội dung quản lý nhà nước là </w:t>
            </w:r>
            <w:r w:rsidRPr="000F1EC3">
              <w:rPr>
                <w:rFonts w:ascii="Times New Roman" w:hAnsi="Times New Roman"/>
                <w:i/>
                <w:iCs/>
                <w:spacing w:val="-2"/>
                <w:sz w:val="24"/>
              </w:rPr>
              <w:t>“</w:t>
            </w:r>
            <w:r w:rsidRPr="000F1EC3">
              <w:rPr>
                <w:rFonts w:ascii="Times New Roman" w:hAnsi="Times New Roman"/>
                <w:i/>
                <w:iCs/>
                <w:spacing w:val="-2"/>
                <w:sz w:val="24"/>
                <w:lang w:val="vi-VN"/>
              </w:rPr>
              <w:t>đăng ký các quyền đối với tàu thuyền</w:t>
            </w:r>
            <w:r w:rsidRPr="000F1EC3">
              <w:rPr>
                <w:rFonts w:ascii="Times New Roman" w:hAnsi="Times New Roman"/>
                <w:i/>
                <w:iCs/>
                <w:spacing w:val="-2"/>
                <w:sz w:val="24"/>
              </w:rPr>
              <w:t>”.</w:t>
            </w:r>
            <w:r w:rsidRPr="000F1EC3">
              <w:rPr>
                <w:rFonts w:ascii="Times New Roman" w:hAnsi="Times New Roman"/>
                <w:spacing w:val="-2"/>
                <w:sz w:val="24"/>
              </w:rPr>
              <w:t xml:space="preserve"> Tuy nhiên, dự thảo Luật không có nội dung nào quy định về đăng ký các quyền đối với tàu thuyền. Đề nghị nghiên cứu, chỉnh sửa quy định này</w:t>
            </w:r>
          </w:p>
          <w:p w14:paraId="2536F638" w14:textId="77777777" w:rsidR="005E54B6" w:rsidRPr="000F1EC3" w:rsidRDefault="005E54B6" w:rsidP="005E54B6">
            <w:pPr>
              <w:tabs>
                <w:tab w:val="left" w:pos="851"/>
              </w:tabs>
              <w:spacing w:before="20" w:after="20"/>
              <w:jc w:val="both"/>
              <w:rPr>
                <w:rFonts w:ascii="Times New Roman" w:hAnsi="Times New Roman"/>
                <w:sz w:val="24"/>
                <w:lang w:val="en-GB"/>
              </w:rPr>
            </w:pPr>
            <w:r w:rsidRPr="000F1EC3">
              <w:rPr>
                <w:rFonts w:ascii="Times New Roman" w:hAnsi="Times New Roman"/>
                <w:sz w:val="24"/>
              </w:rPr>
              <w:t>- Đề nghị xem xét bổ sung quy định về: Đánh giá tác động của biến đổi khí hậu trên cơ sở các kịch bản biến đổi khí hậu do Bộ Nông nghiệp và Môi trường công bố; Lồng ghép các nội dung ứng phó với biến đổi khí hậu vào chiến lược, quy hoạch ngành hàng hải và đường thủy nội địa; Xây dựng ban hành các tiêu chuẩn kỹ thuật, quy chuẩn kỹ thuật thích ứng với biến đổi khí hậu trong lĩnh vực hàng hải và đường thủy nội địa.</w:t>
            </w:r>
          </w:p>
        </w:tc>
        <w:tc>
          <w:tcPr>
            <w:tcW w:w="2793" w:type="dxa"/>
            <w:vAlign w:val="center"/>
          </w:tcPr>
          <w:p w14:paraId="72712B67" w14:textId="77777777"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nội dung quy định này đã được bãi bỏ.</w:t>
            </w:r>
          </w:p>
          <w:p w14:paraId="48908674" w14:textId="7A9AF55E" w:rsidR="0081493C"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được đề xuất giao Chính phủ quy định.</w:t>
            </w:r>
          </w:p>
        </w:tc>
      </w:tr>
      <w:tr w:rsidR="005E54B6" w:rsidRPr="000F1EC3" w14:paraId="67EB45B6" w14:textId="77777777" w:rsidTr="001B580E">
        <w:trPr>
          <w:gridAfter w:val="1"/>
          <w:wAfter w:w="8" w:type="dxa"/>
        </w:trPr>
        <w:tc>
          <w:tcPr>
            <w:tcW w:w="914" w:type="dxa"/>
            <w:vAlign w:val="center"/>
          </w:tcPr>
          <w:p w14:paraId="18FAEC7D"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6D4F25C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069A0E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Sở Xây dựng Gia Lai (văn bản số 3648/SXD-</w:t>
            </w:r>
            <w:r w:rsidRPr="000F1EC3">
              <w:rPr>
                <w:rFonts w:ascii="Times New Roman" w:hAnsi="Times New Roman"/>
                <w:b/>
                <w:sz w:val="24"/>
              </w:rPr>
              <w:lastRenderedPageBreak/>
              <w:t>GT ngày 11/5/2026)</w:t>
            </w:r>
          </w:p>
        </w:tc>
        <w:tc>
          <w:tcPr>
            <w:tcW w:w="8872" w:type="dxa"/>
            <w:vAlign w:val="center"/>
          </w:tcPr>
          <w:p w14:paraId="3F4FAFB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Khoản 12 Điều 12 quy định nội dung quản lý nhà nước về hàng hải và đường thủy nội địa gồm “Thanh tra, kiểm tra, giải quyết khiếu nại, tố cáo và xử lý vi phạm trong hoạt động hàng hải và đường thủy nội địa theo quy định”. Tuy nhiên, theo quy định của Luật Tiếp công dân thì “Tiếp công dân là việc cơ quan, tổ chức, đơn vị, cá nhân quy định tại Điều 4 của Luật này đón tiếp để lắng nghe, tiếp nhận khiếu nại, tố cáo, kiến nghị, phản ánh của </w:t>
            </w:r>
            <w:r w:rsidRPr="000F1EC3">
              <w:rPr>
                <w:rFonts w:ascii="Times New Roman" w:hAnsi="Times New Roman"/>
                <w:sz w:val="24"/>
              </w:rPr>
              <w:lastRenderedPageBreak/>
              <w:t>công dân; giải thích, hướng dẫn cho công dân về việc thực hiện khiếu nại, tố cáo, kiến nghị, phản ánh theo đúng quy định của pháp luật” (khoản 1 Điều 2) và “Kiến nghị, phản ánh là việc công dân cung cấp thông tin, trình bày ý kiến, nguyện vọng, đề xuất giải pháp với cơ quan, tổ chức, đơn vị, cá nhân có thẩm quyền về những vấn đề liên quan đến việc thực hiện chủ trương, đường lối, chính sách, pháp luật, công tác quản lý trong các lĩnh vực đời sống xã hội thuộc trách nhiệm của cơ quan, tổ chức, đơn vị, cá nhân đó” (khoản 2 Điều 2). Do vậy, để đảm bảo phù hợp với quy định của Luật Tiếp công dân, đề nghị cơ quan soạn thảo cân nhắc, chỉnh sửa bổ sung cho phù hợp. Theo đó, đề nghị rà soát, chỉnh sửa nội dung tương tự tại các điều khoản khác trong Dự thảo cho phù hợp (Điều 15).</w:t>
            </w:r>
          </w:p>
        </w:tc>
        <w:tc>
          <w:tcPr>
            <w:tcW w:w="2793" w:type="dxa"/>
            <w:vAlign w:val="center"/>
          </w:tcPr>
          <w:p w14:paraId="6F13DBFC" w14:textId="0425535A"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Tiếp thu, chỉnh sửa, hoạt động tiếp công dân là hoạt động được thực hiện thường xuyên, liên tục tại mọi cơ quan, đơn vị.</w:t>
            </w:r>
          </w:p>
        </w:tc>
      </w:tr>
      <w:tr w:rsidR="005E54B6" w:rsidRPr="000F1EC3" w14:paraId="5DBE6882" w14:textId="77777777" w:rsidTr="001B580E">
        <w:trPr>
          <w:gridAfter w:val="1"/>
          <w:wAfter w:w="8" w:type="dxa"/>
        </w:trPr>
        <w:tc>
          <w:tcPr>
            <w:tcW w:w="914" w:type="dxa"/>
            <w:vAlign w:val="center"/>
          </w:tcPr>
          <w:p w14:paraId="17874B47"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3C5FA781" w14:textId="4899852A" w:rsidR="005E54B6" w:rsidRPr="000F1EC3" w:rsidRDefault="00082F69" w:rsidP="005E54B6">
            <w:pPr>
              <w:spacing w:before="20" w:after="20"/>
              <w:jc w:val="center"/>
              <w:rPr>
                <w:rFonts w:ascii="Times New Roman" w:hAnsi="Times New Roman"/>
                <w:b/>
                <w:bCs/>
                <w:sz w:val="24"/>
              </w:rPr>
            </w:pPr>
            <w:r w:rsidRPr="000F1EC3">
              <w:rPr>
                <w:rFonts w:ascii="Times New Roman" w:hAnsi="Times New Roman"/>
                <w:b/>
                <w:bCs/>
                <w:sz w:val="24"/>
              </w:rPr>
              <w:t>Điều 13</w:t>
            </w:r>
          </w:p>
        </w:tc>
        <w:tc>
          <w:tcPr>
            <w:tcW w:w="1620" w:type="dxa"/>
            <w:vAlign w:val="center"/>
          </w:tcPr>
          <w:p w14:paraId="3CA9C8FE"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58909CE7" w14:textId="77777777" w:rsidR="005E54B6" w:rsidRPr="000F1EC3" w:rsidRDefault="005E54B6" w:rsidP="005E54B6">
            <w:pPr>
              <w:tabs>
                <w:tab w:val="left" w:pos="851"/>
              </w:tabs>
              <w:spacing w:before="20" w:after="20"/>
              <w:jc w:val="both"/>
              <w:rPr>
                <w:rFonts w:ascii="Times New Roman" w:hAnsi="Times New Roman"/>
                <w:spacing w:val="-2"/>
                <w:sz w:val="24"/>
              </w:rPr>
            </w:pPr>
            <w:r w:rsidRPr="000F1EC3">
              <w:rPr>
                <w:rFonts w:ascii="Times New Roman" w:hAnsi="Times New Roman"/>
                <w:spacing w:val="-2"/>
                <w:sz w:val="24"/>
              </w:rPr>
              <w:t>- Quy định trách nhiệm của Bộ Nông nghiệp và Môi trường trong quản lý nhà nước về hàng hải, đường thủy nội địa mà chưa quy định trách nhiệm trong việc quản lý hoạt động của tàu cá, cảng cá có liên quan đến các hoạt động được quy định tại dự thảo Bộ luật, do đó, đề nghị bổ sung trách nhiệm cụ thể của Bộ Nông nghiệp và Môi trường trong việc quản lý hoạt động tàu cá, cảng cá có liên quan đến hoạt động hàng hải, đường thủy nội địa, trách nhiệm trong công tác phối hợp bảo đảm an toàn cho tàu cá hoạt động trên biển, trong vùng nước cảng biển, luồng hàng hải và khu neo đậu tránh trú bão. Đồng thời bổ sung tránh nhiệm trong quản lý tài nguyên, môi trường biển; giao khu vực biển; kiểm soát các hoạt động sử dụng biển đối với các công trình, dự án, hoạt động hàng hải và đường thủy nội địa được triển khai trên vùng biển Việt Nam. Việc bổ sung nội dung này là cần thiết nhằm bảo đảm phù hợp với chức năng, nhiệm vụ quản lý nhà nước về biển và hải đảo của Bộ Nông nghiệp và Môi trường, đồng thời tăng cường cơ chế phối hợp liên ngành trong quá trình quản lý.</w:t>
            </w:r>
          </w:p>
          <w:p w14:paraId="3EE02196" w14:textId="77777777" w:rsidR="005E54B6" w:rsidRPr="000F1EC3" w:rsidRDefault="005E54B6" w:rsidP="005E54B6">
            <w:pPr>
              <w:tabs>
                <w:tab w:val="left" w:pos="851"/>
              </w:tabs>
              <w:spacing w:before="20" w:after="20"/>
              <w:jc w:val="both"/>
              <w:rPr>
                <w:rFonts w:ascii="Times New Roman" w:hAnsi="Times New Roman"/>
                <w:spacing w:val="-4"/>
                <w:sz w:val="24"/>
              </w:rPr>
            </w:pPr>
            <w:r w:rsidRPr="000F1EC3">
              <w:rPr>
                <w:rFonts w:ascii="Times New Roman" w:hAnsi="Times New Roman"/>
                <w:spacing w:val="-4"/>
                <w:sz w:val="24"/>
              </w:rPr>
              <w:t>- Tại khoản 6 quy định Bộ Nông nghiệp và Môi trường chủ trì phối hợp với Bộ Xây dựng và các bộ, ngành liên quan trong việc xây dựng quy hoạch đê điều và phòng, chống lũ của tuyến sông có đê là không thống nhất với quy định tại Luật Đê điều (Bộ Nông nghiệp và Môi trường tổ chức lập, phê duyệt quy hoạch đê điều và phòng, chống lũ của tuyến sông có đê; Bộ sẽ lấy ý kiến các Bộ, ngành liên quan, trong đó có Bộ Xây dựng, trong quá trình lập quy hoạch). Do đó, đề nghị Bộ Xây dựng rà soát, chỉnh sửa nội dung phù hợp, đảm bảo thống nhất.</w:t>
            </w:r>
          </w:p>
          <w:p w14:paraId="37753EE6" w14:textId="77777777" w:rsidR="005E54B6" w:rsidRPr="000F1EC3" w:rsidRDefault="005E54B6" w:rsidP="005E54B6">
            <w:pPr>
              <w:tabs>
                <w:tab w:val="left" w:pos="851"/>
              </w:tabs>
              <w:spacing w:before="20" w:after="20"/>
              <w:jc w:val="both"/>
              <w:rPr>
                <w:rFonts w:ascii="Times New Roman" w:hAnsi="Times New Roman"/>
                <w:spacing w:val="-6"/>
                <w:sz w:val="24"/>
              </w:rPr>
            </w:pPr>
            <w:r w:rsidRPr="000F1EC3">
              <w:rPr>
                <w:rFonts w:ascii="Times New Roman" w:hAnsi="Times New Roman"/>
                <w:spacing w:val="-6"/>
                <w:sz w:val="24"/>
              </w:rPr>
              <w:t>- Đề nghị bổ sung nội dung trách nhiệm của Bộ Xây dựng trong việc chỉ đạo cung cấp thông tin, số liệu về nhu cầu mực nước của các tuyến giao thông đường thủy để phục vụ công tác xây dựng kịch bản nguồn nước và phương án điều hòa, phân phối tài nguyên nước để đảm bảo đáp ứng quy định tại khoản 5 Điều 79 Luật Tài nguyên nước và trách nhiệm chỉ đạo việc kết nối, liên thông dữ liệu liên quan đến tài nguyên nước thuộc phạm vi quản lý của mình với Hệ thống thông tin, cơ sở dữ liệu tài nguyên nước quốc gia theo quy định tại khoản 6 Điều 7 Luật Tài nguyên nước.</w:t>
            </w:r>
          </w:p>
        </w:tc>
        <w:tc>
          <w:tcPr>
            <w:tcW w:w="2793" w:type="dxa"/>
            <w:vAlign w:val="center"/>
          </w:tcPr>
          <w:p w14:paraId="27FADB5E" w14:textId="4CE97CAD"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ý kiến của Bộ Nội vụ, nội dung dự thảo đã bỏ quy định trách nhiệm của các Bộ ngành.</w:t>
            </w:r>
          </w:p>
        </w:tc>
      </w:tr>
      <w:tr w:rsidR="005E54B6" w:rsidRPr="000F1EC3" w14:paraId="770720D1" w14:textId="77777777" w:rsidTr="001B580E">
        <w:trPr>
          <w:gridAfter w:val="1"/>
          <w:wAfter w:w="8" w:type="dxa"/>
        </w:trPr>
        <w:tc>
          <w:tcPr>
            <w:tcW w:w="914" w:type="dxa"/>
            <w:vAlign w:val="center"/>
          </w:tcPr>
          <w:p w14:paraId="6CBC2861"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965F353"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73461CA"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1F98436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4 và khoản 7 trùng nhau, vì vậy cần hợp nhất lại 1 khoản</w:t>
            </w:r>
          </w:p>
        </w:tc>
        <w:tc>
          <w:tcPr>
            <w:tcW w:w="2793" w:type="dxa"/>
            <w:vAlign w:val="center"/>
          </w:tcPr>
          <w:p w14:paraId="2F5F5330" w14:textId="1CEF46C1"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3E33E456" w14:textId="77777777" w:rsidTr="001B580E">
        <w:trPr>
          <w:gridAfter w:val="1"/>
          <w:wAfter w:w="8" w:type="dxa"/>
        </w:trPr>
        <w:tc>
          <w:tcPr>
            <w:tcW w:w="914" w:type="dxa"/>
            <w:vAlign w:val="center"/>
          </w:tcPr>
          <w:p w14:paraId="6782DD98"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27C112C"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CAB8F9E"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Sở Xây dựng Gia Lai (văn bản số 3648/SXD-GT ngày 11/5/2026)</w:t>
            </w:r>
          </w:p>
        </w:tc>
        <w:tc>
          <w:tcPr>
            <w:tcW w:w="8872" w:type="dxa"/>
            <w:vAlign w:val="center"/>
          </w:tcPr>
          <w:p w14:paraId="2CB1509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Đối với khoản 6 quy định trách nhiệm của Bộ Nông nghiệp và Môi trường đề nghị xem xét chỉnh sửa từ “... chủ trì phối hợp với Bộ Xây dựng và các bộ, ngành liên quan trong việc xây dựng quy hoạch tổng hợp tài nguyên nước và hạ tầng thủy lợi lưu vực sông liên tỉnh; quản lý khai thác tài nguyên có liên quan đến luồng và hành lang bảo vệ luồng, bảo đảm an toàn giao thông, bảo vệ môi trường trên đường thủy nội địa; xây dựng quy hoạch đê điều và phòng, chống lũ của tuyến sông có đê; tổ chức thực hiện việc đặt, duy trì báo hiệu đường thủy nội địa đối với các công trình thủy lợi và thanh thải kịp thời các công trình thuỷ lợi không còn sử dụng nhưng ảnh hưởng tới luồng và hành lang bảo vệ luồng” thành “... chủ trì phối hợp với Bộ Xây dựng và các bộ, ngành liên quan trong việc xây dựng quy hoạch tổng hợp tài nguyên nước và hạ tầng thủy lợi lưu vực sông liên tỉnh; quản lý khai thác tài nguyên có liên quan đến luồng và hành lang bảo vệ luồng; xây dựng quy hoạch đê điều ... và hành lang bảo vệ luồng” (lược bỏ nội dung “bảo đảm an toàn giao thông, bảo vệ môi trường trên đường thủy nội địa”) vì theo Điều 2 của Quyết định số 08/QĐ-BXD ngày 01/3/2025 của Bộ trưởng Bộ Xây dựng quy định chức năng, nhiệm vụ, quyền hạn và cơ cấu tổ chức của Cục Hàng hải và đường thủy Việt Nam có quy định nhiệm vụ và quyền hạn của đơn vị như sau:</w:t>
            </w:r>
          </w:p>
          <w:p w14:paraId="296D0FB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Tại khoản 11. Về an toàn, an ninh có khoản a quy định “a) Tổ chức thực hiện bảo đảm an toàn hàng hải, an ninh hàng hải, lao động hàng hải đối với tàu thuyền hoạt động tại cảng biển, luồng hàng hải và các vùng biển Việt Nam; thực hiện bảo đảm an toàn, an ninh đường thủy nội địa, theo thẩm quyền và thuộc phạm vi quản lý theo quy định của pháp luật” và điểm k quy định “k) Chấp thuận phương án bảo đảm an toàn giao thông đường thủy nội địa theo thẩm quyền và thuộc phạm vi quản lý”;</w:t>
            </w:r>
          </w:p>
          <w:p w14:paraId="5801948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 Tại khoản 12. Về bảo vệ môi trường trong hoạt động hàng hải và giao thông vận tải đường thủy nội địa có điểm a quy định “a) Tổ chức thực hiện quản lý nhà nước về bảo vệ môi trường trong lĩnh vực hàng hải đối với tàu thuyền hoạt động tại cảng biển, luồng hàng hải, các vùng biển Việt Nam và lĩnh vực giao thông đường thủy nội địa theo quy định của pháp luật” và điểm d quy định “d) Hướng dẫn, tuyên truyền, kiểm tra, giám sát việc tuân </w:t>
            </w:r>
            <w:r w:rsidRPr="000F1EC3">
              <w:rPr>
                <w:rFonts w:ascii="Times New Roman" w:hAnsi="Times New Roman"/>
                <w:sz w:val="24"/>
              </w:rPr>
              <w:lastRenderedPageBreak/>
              <w:t>thủ quy định về bảo vệ môi trường trong hoạt động hàng hải, giao thông đường thủy nội địa theo quy định của pháp luật”.</w:t>
            </w:r>
          </w:p>
        </w:tc>
        <w:tc>
          <w:tcPr>
            <w:tcW w:w="2793" w:type="dxa"/>
            <w:vAlign w:val="center"/>
          </w:tcPr>
          <w:p w14:paraId="4FAD160E" w14:textId="1A638002"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Tiếp thu ý kiến của Bộ Nội vụ, nội dung dự thảo không quy định cụ thể trách nhiệm của các Bộ ngành, đồng thời, việc quy định nhiệm vụ của các cơ quan, đơn vị phải tuân thủ quy định của cấp trên.</w:t>
            </w:r>
          </w:p>
        </w:tc>
      </w:tr>
      <w:tr w:rsidR="005E54B6" w:rsidRPr="000F1EC3" w14:paraId="34290571" w14:textId="77777777" w:rsidTr="001B580E">
        <w:trPr>
          <w:gridAfter w:val="1"/>
          <w:wAfter w:w="8" w:type="dxa"/>
        </w:trPr>
        <w:tc>
          <w:tcPr>
            <w:tcW w:w="914" w:type="dxa"/>
            <w:vAlign w:val="center"/>
          </w:tcPr>
          <w:p w14:paraId="67CB9B7E"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919325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6AC762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Vĩnh Long (văn bản số 3079/SXD-VTAT ngày 11/5/2026)</w:t>
            </w:r>
          </w:p>
        </w:tc>
        <w:tc>
          <w:tcPr>
            <w:tcW w:w="8872" w:type="dxa"/>
            <w:vAlign w:val="center"/>
          </w:tcPr>
          <w:p w14:paraId="413E053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điểm b khoản 8 Điều 13 dự thảo quy định UBND cấp xã có trách nhiệm thực hiện các biện pháp bảo vệ kết cấu hạ tầng, chống lấn chiếm hành lang bảo vệ luồng. Do lực lượng tại chỗ mỏng, việc tuần tra, xử lý vi phạm trên các tuyến sông cần trang bị phương tiện, trang thiết bị chuyên dụng (đề xuất khi ban hành các văn bản Nghị định, Thông tư hướng dẫn thực hiện có quy định về phương tiện, nguồn kinh phí hỗ trợ cho UBND cấp xã thực hiện công tác quản lý).</w:t>
            </w:r>
          </w:p>
        </w:tc>
        <w:tc>
          <w:tcPr>
            <w:tcW w:w="2793" w:type="dxa"/>
            <w:vAlign w:val="center"/>
          </w:tcPr>
          <w:p w14:paraId="035A2423" w14:textId="7B8FBC64"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 tại Điều 12 dự thảo.</w:t>
            </w:r>
          </w:p>
        </w:tc>
      </w:tr>
      <w:tr w:rsidR="005E54B6" w:rsidRPr="000F1EC3" w14:paraId="0D81F17D" w14:textId="77777777" w:rsidTr="001B580E">
        <w:trPr>
          <w:gridAfter w:val="1"/>
          <w:wAfter w:w="8" w:type="dxa"/>
        </w:trPr>
        <w:tc>
          <w:tcPr>
            <w:tcW w:w="914" w:type="dxa"/>
            <w:vAlign w:val="center"/>
          </w:tcPr>
          <w:p w14:paraId="24C298C5"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586B737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D38808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Khánh Hòa (văn bản số 4773/SXD-QLVT ngày 11/5/2026)</w:t>
            </w:r>
          </w:p>
        </w:tc>
        <w:tc>
          <w:tcPr>
            <w:tcW w:w="8872" w:type="dxa"/>
            <w:vAlign w:val="center"/>
          </w:tcPr>
          <w:p w14:paraId="6BA7AA0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8 Điều 13: Đề nghị cơ quan soạn thảo bố cục như sau để ngắn gọn, chặt chẽ: “8. Ủy ban nhân dân các cấp trong phạm vi nhiệm vụ, quyền hạn của mình thực hiện quản lý nhà nước về hàng hải, đường thủy nội địa tại địa phương, có trách nhiệm: a) Tổ chức, Chỉ đạo các sở, ban, ngành trực thuộc và Ủy ban nhân dân cấp xã thực hiện các biện pháp bảo vệ kết cấu hạ tầng đường thủy nội địa, chống lấn, chiếm hành lang bảo vệ luồng… b) Tổ chức thực hiện quy hoạch chi tiết kết cấu hạ tầng hàng hải, đường thủy nội địa theo thẩm quyền; xây dựng và tổ chức thực hiện nội dung phương án phát triển kết cấu hạ tầng hàng hải, đường thủy nội địa trong quy hoạch tỉnh. c) Chỉ đạo tổ chức thực hiện việc tuyên truyền, phổ biến, giáo dục pháp luật về hàng hải, giao thông đường thủy nội địa.</w:t>
            </w:r>
          </w:p>
        </w:tc>
        <w:tc>
          <w:tcPr>
            <w:tcW w:w="2793" w:type="dxa"/>
            <w:vAlign w:val="center"/>
          </w:tcPr>
          <w:p w14:paraId="1A320F4E" w14:textId="1C3C4231"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 tại Điều 12 dự thảo.</w:t>
            </w:r>
          </w:p>
        </w:tc>
      </w:tr>
      <w:tr w:rsidR="005E54B6" w:rsidRPr="000F1EC3" w14:paraId="7EF81969" w14:textId="77777777" w:rsidTr="001B580E">
        <w:trPr>
          <w:gridAfter w:val="1"/>
          <w:wAfter w:w="8" w:type="dxa"/>
        </w:trPr>
        <w:tc>
          <w:tcPr>
            <w:tcW w:w="914" w:type="dxa"/>
            <w:vAlign w:val="center"/>
          </w:tcPr>
          <w:p w14:paraId="4D1A0D32"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B790742"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D1875D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ĐBQH Hải Phòng (văn bản số 42/DBQH-CTQH ngày 12/5/2026)</w:t>
            </w:r>
          </w:p>
        </w:tc>
        <w:tc>
          <w:tcPr>
            <w:tcW w:w="8872" w:type="dxa"/>
            <w:vAlign w:val="center"/>
          </w:tcPr>
          <w:p w14:paraId="5E6DDDD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Một trong những bất cập được ghi nhận trong Báo cáo tổng kết thi hành Bộ luật Hàng hải Việt Nam là tình trạng chồng chéo giữa Cảng vụ hàng hải và Cảng vụ đường thuỷ nội địa tại khu vực cảng giáp ranh. Dự thảo chưa giải quyết dứt điểm vấn đề này tại Điều 13 và Điều 14. Đề nghị quy định rõ hơn về cơ chế phối hợp giữa Cảng vụ hàng hải và Cảng vụ đường thủy nội địa tại các khu vực giao thoa (bến thủy nội địa trong vùng nước cảng biển), để tránh chồng chéo hoặc bỏ trống quản lý.</w:t>
            </w:r>
          </w:p>
        </w:tc>
        <w:tc>
          <w:tcPr>
            <w:tcW w:w="2793" w:type="dxa"/>
            <w:vAlign w:val="center"/>
          </w:tcPr>
          <w:p w14:paraId="37E59E56" w14:textId="5CB0226C"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Dự thảo đã quy định phân định lại các loại hình kết cấu là cơ sở để phân cùng quản lý, đồng thời, đảm bảo nguyên tắc xây dựng Luật, dự thảo không thể quy định chi tiết nhiệm vụ của từng cơ quan, đơn vị.</w:t>
            </w:r>
          </w:p>
        </w:tc>
      </w:tr>
      <w:tr w:rsidR="005E54B6" w:rsidRPr="000F1EC3" w14:paraId="25A488BE" w14:textId="77777777" w:rsidTr="001B580E">
        <w:trPr>
          <w:gridAfter w:val="1"/>
          <w:wAfter w:w="8" w:type="dxa"/>
        </w:trPr>
        <w:tc>
          <w:tcPr>
            <w:tcW w:w="914" w:type="dxa"/>
            <w:vAlign w:val="center"/>
          </w:tcPr>
          <w:p w14:paraId="0EF3DEFD"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3CBE3D8B"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94BC8B9"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Sở Xây dựng Hà Tĩnh (văn bản số 2546/SXD-QLVT ngày 11/5/2026)</w:t>
            </w:r>
          </w:p>
        </w:tc>
        <w:tc>
          <w:tcPr>
            <w:tcW w:w="8872" w:type="dxa"/>
            <w:vAlign w:val="center"/>
          </w:tcPr>
          <w:p w14:paraId="1B60492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4 và khoản 7 Điều 13 có nội dung tương tự nhau về trách nhiệm phối hợp của các bộ, ngành; đề nghị gộp để tránh trùng lặp</w:t>
            </w:r>
          </w:p>
        </w:tc>
        <w:tc>
          <w:tcPr>
            <w:tcW w:w="2793" w:type="dxa"/>
            <w:vAlign w:val="center"/>
          </w:tcPr>
          <w:p w14:paraId="57E274B8" w14:textId="2C0C9AC2"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 xml:space="preserve">Tiếp thu, chỉnh sửa </w:t>
            </w:r>
          </w:p>
        </w:tc>
      </w:tr>
      <w:tr w:rsidR="005E54B6" w:rsidRPr="000F1EC3" w14:paraId="5BFD43E9" w14:textId="77777777" w:rsidTr="001B580E">
        <w:trPr>
          <w:gridAfter w:val="1"/>
          <w:wAfter w:w="8" w:type="dxa"/>
        </w:trPr>
        <w:tc>
          <w:tcPr>
            <w:tcW w:w="914" w:type="dxa"/>
            <w:vAlign w:val="center"/>
          </w:tcPr>
          <w:p w14:paraId="341EA8F5"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74480D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A109187"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28ABA975"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(văn bản số 222/VMSC-ATHH ngày 11/5/206)</w:t>
            </w:r>
          </w:p>
        </w:tc>
        <w:tc>
          <w:tcPr>
            <w:tcW w:w="8872" w:type="dxa"/>
            <w:vAlign w:val="center"/>
          </w:tcPr>
          <w:p w14:paraId="5C90B6E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bổ sung quy định “Bộ Xây dựng tổ chức thực hiện đo đạc, thành lập hải đồ vùng nước cảng biển và luồng hàng hải, tuyến hàng hải, luồng đường thuỷ và tuyến đường thuỷ nội địa.”</w:t>
            </w:r>
          </w:p>
          <w:p w14:paraId="36C6C8F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Lý do: Kế thừa quy định tại Điều 84 Luật Hàng hải năm 2015 và bổ sung nội dung đường thủy nội địa.</w:t>
            </w:r>
          </w:p>
        </w:tc>
        <w:tc>
          <w:tcPr>
            <w:tcW w:w="2793" w:type="dxa"/>
            <w:vAlign w:val="center"/>
          </w:tcPr>
          <w:p w14:paraId="031872EB" w14:textId="2FC738A5"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ý kiến của Bộ Nội vụ, nội dung dự thảo không quy định cụ thể trách nhiệm của các Bộ ngành, đồng thời, việc quy định nhiệm vụ của các cơ quan, đơn vị phải tuân thủ quy định của cấp trên.</w:t>
            </w:r>
          </w:p>
        </w:tc>
      </w:tr>
      <w:tr w:rsidR="005E54B6" w:rsidRPr="000F1EC3" w14:paraId="47CE44E3" w14:textId="77777777" w:rsidTr="001B580E">
        <w:trPr>
          <w:gridAfter w:val="1"/>
          <w:wAfter w:w="8" w:type="dxa"/>
        </w:trPr>
        <w:tc>
          <w:tcPr>
            <w:tcW w:w="914" w:type="dxa"/>
            <w:vAlign w:val="center"/>
          </w:tcPr>
          <w:p w14:paraId="1E2337BC"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481DFBF7"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158164F"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Bộ Nội vụ (văn bản số 4525/BNV-PC ngày 12/5/2025)</w:t>
            </w:r>
          </w:p>
        </w:tc>
        <w:tc>
          <w:tcPr>
            <w:tcW w:w="8872" w:type="dxa"/>
            <w:vAlign w:val="center"/>
          </w:tcPr>
          <w:p w14:paraId="6B5CBDE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Điều 13, đề nghị rà soát bỏ các quy định về nhiệm vụ và quyền hạn cụ thể của các Bộ tại các khoản 2, 4, 5, 6, 7…</w:t>
            </w:r>
          </w:p>
        </w:tc>
        <w:tc>
          <w:tcPr>
            <w:tcW w:w="2793" w:type="dxa"/>
            <w:vAlign w:val="center"/>
          </w:tcPr>
          <w:p w14:paraId="5FEDFB4B" w14:textId="12458CAD"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ý kiến của Bộ Nội vụ, nội dung dự thảo không quy định cụ thể trách nhiệm của các Bộ ngành.</w:t>
            </w:r>
          </w:p>
        </w:tc>
      </w:tr>
      <w:tr w:rsidR="005E54B6" w:rsidRPr="000F1EC3" w14:paraId="33C85255" w14:textId="77777777" w:rsidTr="001B580E">
        <w:trPr>
          <w:gridAfter w:val="1"/>
          <w:wAfter w:w="8" w:type="dxa"/>
        </w:trPr>
        <w:tc>
          <w:tcPr>
            <w:tcW w:w="914" w:type="dxa"/>
            <w:vAlign w:val="center"/>
          </w:tcPr>
          <w:p w14:paraId="4F358DBC"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Align w:val="center"/>
          </w:tcPr>
          <w:p w14:paraId="548B33E5"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Điều 14</w:t>
            </w:r>
          </w:p>
        </w:tc>
        <w:tc>
          <w:tcPr>
            <w:tcW w:w="1620" w:type="dxa"/>
            <w:vAlign w:val="center"/>
          </w:tcPr>
          <w:p w14:paraId="7B52C6C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Thanh tra Chính phủ</w:t>
            </w:r>
          </w:p>
          <w:p w14:paraId="31A0EAC2"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(Văn bản số 1317/ TTCP- C.VII ngày 07/5/2026)</w:t>
            </w:r>
          </w:p>
        </w:tc>
        <w:tc>
          <w:tcPr>
            <w:tcW w:w="8872" w:type="dxa"/>
            <w:vAlign w:val="center"/>
          </w:tcPr>
          <w:p w14:paraId="055AD0F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rà soát kỹ sự cần thiết phải có Chi cục Hàng hải và Đường thủy nội địa (khoản 2) và Cảng vụ hàng hải, Cảng vụ đường thủy (khoản 3) đều là các cơ quan quản lý nhà nước chuyên ngành về hàng hải, đường thủy nội địa để đáp ứng yêu cầu về tinh gọn tổ chức, đồng thời đảm bảo nguyên tắc “Thực hiện nguyên tắc một việc chỉ giao cho một cơ quan chủ trì, chịu trách nhiệm chính, các cơ quan có liên quan phối hợp thực hiện” được quy định tại điểm 6 mục IV Nghị quyết số 27-NQ/TW ngày 09/11/2022 Hội  nghị lần thứ 6 Ban Chấp hành Trung ương Đảng khóa XIII</w:t>
            </w:r>
          </w:p>
        </w:tc>
        <w:tc>
          <w:tcPr>
            <w:tcW w:w="2793" w:type="dxa"/>
            <w:vAlign w:val="center"/>
          </w:tcPr>
          <w:p w14:paraId="080E9DCC" w14:textId="2798904F"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dự thảo đã bãi bỏ quy định này.</w:t>
            </w:r>
          </w:p>
        </w:tc>
      </w:tr>
      <w:tr w:rsidR="005E54B6" w:rsidRPr="000F1EC3" w14:paraId="4F66450C" w14:textId="77777777" w:rsidTr="001B580E">
        <w:trPr>
          <w:gridAfter w:val="1"/>
          <w:wAfter w:w="8" w:type="dxa"/>
        </w:trPr>
        <w:tc>
          <w:tcPr>
            <w:tcW w:w="914" w:type="dxa"/>
            <w:vAlign w:val="center"/>
          </w:tcPr>
          <w:p w14:paraId="6A4D1003"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96C252C"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4DAD9E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Hưng Yên (văn bản số 2188/SXD-QLKCHT ngày 12/5/2026)</w:t>
            </w:r>
          </w:p>
        </w:tc>
        <w:tc>
          <w:tcPr>
            <w:tcW w:w="8872" w:type="dxa"/>
            <w:vAlign w:val="center"/>
          </w:tcPr>
          <w:p w14:paraId="4AE679B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3 Điều này quy định “Cảng vụ hàng hải, Cảng vụ đường thủy nội địa thuộc Cơ quan quản lý nhà nước chuyên ngành hàng hải, đường thủy nội địa”. Theo quy định này của dự thảo Bộ Luật thì Cảng vụ Đường thủy nội địa chỉ trực thuộc Cơ quan quản lý nhà nước chuyên ngành thuộc Bộ Xây dựng. Trong khi đó tại nhiều địa phương có mật độ giao thông đường thủy nội địa lớn nhưng không có Cảng vụ đường thuỷ nội địa chuyên quản lý hệ thống đường thủy nội địa địa phương sẽ rất khó khăn trong quá trình quản lý. Do đó, đề nghị sửa đổi quy định này để đảm bảo phù hợp với điều kiện thực tế và nhu cầu quản lý của địa phương.</w:t>
            </w:r>
          </w:p>
          <w:p w14:paraId="06D8328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Đề nghị bổ sung quy định giao cho Chính phủ hoặc Bộ Xây dựng quy định cụ thể về vị trí, chức năng, nhiệm vụ, cơ cấu tổ chức, bộ máy của các cơ quan quy định tại Điều 14 Bộ Luật.</w:t>
            </w:r>
          </w:p>
        </w:tc>
        <w:tc>
          <w:tcPr>
            <w:tcW w:w="2793" w:type="dxa"/>
            <w:vAlign w:val="center"/>
          </w:tcPr>
          <w:p w14:paraId="1252CB69" w14:textId="77777777"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sửa đổi tại Điều 12, Điều 107 dự thảo.</w:t>
            </w:r>
          </w:p>
          <w:p w14:paraId="2F183998" w14:textId="646690D3" w:rsidR="0081493C" w:rsidRPr="000F1EC3" w:rsidRDefault="0081493C" w:rsidP="005E54B6">
            <w:pPr>
              <w:spacing w:before="20" w:after="20"/>
              <w:jc w:val="both"/>
              <w:rPr>
                <w:rFonts w:ascii="Times New Roman" w:hAnsi="Times New Roman"/>
                <w:sz w:val="24"/>
              </w:rPr>
            </w:pPr>
          </w:p>
        </w:tc>
      </w:tr>
      <w:tr w:rsidR="005E54B6" w:rsidRPr="000F1EC3" w14:paraId="0768A68B" w14:textId="77777777" w:rsidTr="001B580E">
        <w:trPr>
          <w:gridAfter w:val="1"/>
          <w:wAfter w:w="8" w:type="dxa"/>
        </w:trPr>
        <w:tc>
          <w:tcPr>
            <w:tcW w:w="914" w:type="dxa"/>
            <w:vAlign w:val="center"/>
          </w:tcPr>
          <w:p w14:paraId="2173CC7B"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2784C78"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C1A83DE"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7041A14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2 quy định Chi cục thực hiện “một số nhiệm vụ quản lý nhà nước” nhưng chưa xác định cụ thể nhiệm vụ nào, dẫn đến chồng chéo với chức năng Cảng vụ. Cần phân định rõ theo thẩm quyền lãnh thổ và chức năng chuyên môn. Đề nghị phân định rõ thẩm quyền giữa Chi cục Hàng hải và Đường thủy với Cảng vụ hàng hải và Cảng vụ đường thủy nội địa, tránh chồng chéo trong thực thi. Đề nghị quy định rõ các Chi cục có thẩm quyền cấp phép, xử phạt hay chỉ mang tính tham mưu.</w:t>
            </w:r>
          </w:p>
        </w:tc>
        <w:tc>
          <w:tcPr>
            <w:tcW w:w="2793" w:type="dxa"/>
            <w:vAlign w:val="center"/>
          </w:tcPr>
          <w:p w14:paraId="20D43101" w14:textId="1F643DE9"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ý kiến của Thanh tra Chính phủ, dự thảo đã bỏ quy định này.</w:t>
            </w:r>
          </w:p>
        </w:tc>
      </w:tr>
      <w:tr w:rsidR="005E54B6" w:rsidRPr="000F1EC3" w14:paraId="799BC2B8" w14:textId="77777777" w:rsidTr="001B580E">
        <w:trPr>
          <w:gridAfter w:val="1"/>
          <w:wAfter w:w="8" w:type="dxa"/>
        </w:trPr>
        <w:tc>
          <w:tcPr>
            <w:tcW w:w="914" w:type="dxa"/>
            <w:vAlign w:val="center"/>
          </w:tcPr>
          <w:p w14:paraId="54C9D84B"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5E7B9F1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79434FD"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UBND TP Hải Phòng (văn bản số 895/UBND-XDCT ngày 12/5/2026)</w:t>
            </w:r>
          </w:p>
        </w:tc>
        <w:tc>
          <w:tcPr>
            <w:tcW w:w="8872" w:type="dxa"/>
            <w:vAlign w:val="center"/>
          </w:tcPr>
          <w:p w14:paraId="1BC1A7C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Khoản 1 Điều này quy định “Cơ quan quản lý nhà nước chuyên ngành hàng hải, đường thủy nội địa là cơ quan thuộc Bộ Xây dựng”. Tuy nhiên, chưa xác định cụ thể đây là cơ quan nào thuộc Bộ. Bên cạnh đó, việc xác định cơ quan quản lý nhà nước chuyên ngành chỉ có tại Bộ Xây dựng mà không có tại UBND các tỉnh, thành phố trực thuộc Trung ương là chưa phù hợp với tình hình thực tế và nhu cầu quản lý tại địa phương. </w:t>
            </w:r>
          </w:p>
          <w:p w14:paraId="6F4D426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3 Điều này quy định “Cảng vụ hàng hải, Cảng vụ đường thủy nội địa thuộc Cơ quan quản lý nhà nước chuyên ngành hàng hải, đường thủy nội địa”. Theo quy định của dự thảo Bộ Luật thì Cảng vụ Đường thủy nội địa chỉ trực thuộc Cơ quan quản lý nhà nước chuyên ngành thuộc Bộ Xây dựng. Trong khi đó tại nhiều địa phương, trong đó có thành phố Hải Phòng vẫn có Cảng vụ Đường thủy nội địa trực thuộc Sở Xây dựng (là cơ quan chuyên môn của Ủy ban nhân dân cấp tỉnh để thực hiện nhiệm vụ quản lý nhà nước chuyên ngành tại cảng, bến thủy nội địa do địa phương quản lý).</w:t>
            </w:r>
          </w:p>
          <w:p w14:paraId="01FA02A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nghị sửa đổi quy định này để đảm bảo phù hợp với điều kiện thực tế và nhu cầu quản lý của địa phương. </w:t>
            </w:r>
          </w:p>
          <w:p w14:paraId="6F43826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Đề nghị bổ sung quy định giao cho Chính phủ hoặc Bộ Xây dựng quy định cụ thể về vị trí, chức năng, nhiệm vụ, cơ cấu tổ chức, bộ máy của các cơ quan quy định tại Điều 14 Bộ Luật.</w:t>
            </w:r>
          </w:p>
        </w:tc>
        <w:tc>
          <w:tcPr>
            <w:tcW w:w="2793" w:type="dxa"/>
            <w:vAlign w:val="center"/>
          </w:tcPr>
          <w:p w14:paraId="275458A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Tiếp thu, sửa đổi tại Điều 12, Điều 107 dự thảo.</w:t>
            </w:r>
          </w:p>
          <w:p w14:paraId="0BEF6253" w14:textId="77777777" w:rsidR="005E54B6" w:rsidRPr="000F1EC3" w:rsidRDefault="005E54B6" w:rsidP="005E54B6">
            <w:pPr>
              <w:spacing w:before="20" w:after="20"/>
              <w:jc w:val="both"/>
              <w:rPr>
                <w:rFonts w:ascii="Times New Roman" w:hAnsi="Times New Roman"/>
                <w:sz w:val="24"/>
              </w:rPr>
            </w:pPr>
          </w:p>
        </w:tc>
      </w:tr>
      <w:tr w:rsidR="005E54B6" w:rsidRPr="000F1EC3" w14:paraId="25851636" w14:textId="77777777" w:rsidTr="001B580E">
        <w:trPr>
          <w:gridAfter w:val="1"/>
          <w:wAfter w:w="8" w:type="dxa"/>
        </w:trPr>
        <w:tc>
          <w:tcPr>
            <w:tcW w:w="914" w:type="dxa"/>
            <w:vAlign w:val="center"/>
          </w:tcPr>
          <w:p w14:paraId="678A125D"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36EF6E0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A5BC547"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Bộ Nội vụ (văn bản số 4525/BNV-PC ngày 12/5/2025)</w:t>
            </w:r>
          </w:p>
        </w:tc>
        <w:tc>
          <w:tcPr>
            <w:tcW w:w="8872" w:type="dxa"/>
            <w:vAlign w:val="center"/>
          </w:tcPr>
          <w:p w14:paraId="4DABEF0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rà soát và chỉnh sửa khái niệm về công chức hàng hải và đường thuỷ nội địa để đảm bảo thống nhất với khái niệm công chức quy định tại Điều 1 Luật Cán bộ, công chức năm 2025</w:t>
            </w:r>
          </w:p>
        </w:tc>
        <w:tc>
          <w:tcPr>
            <w:tcW w:w="2793" w:type="dxa"/>
            <w:vAlign w:val="center"/>
          </w:tcPr>
          <w:p w14:paraId="69D95E86" w14:textId="11EC1EF3"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Tiếp thu, sửa đổi tại Điều 12 dự thảo.</w:t>
            </w:r>
          </w:p>
          <w:p w14:paraId="57FD2519" w14:textId="77777777" w:rsidR="005E54B6" w:rsidRPr="000F1EC3" w:rsidRDefault="005E54B6" w:rsidP="005E54B6">
            <w:pPr>
              <w:spacing w:before="20" w:after="20"/>
              <w:jc w:val="both"/>
              <w:rPr>
                <w:rFonts w:ascii="Times New Roman" w:hAnsi="Times New Roman"/>
                <w:sz w:val="24"/>
              </w:rPr>
            </w:pPr>
          </w:p>
        </w:tc>
      </w:tr>
      <w:tr w:rsidR="00367A47" w:rsidRPr="000F1EC3" w14:paraId="5A957086" w14:textId="77777777" w:rsidTr="00845D33">
        <w:trPr>
          <w:gridAfter w:val="1"/>
          <w:wAfter w:w="8" w:type="dxa"/>
          <w:trHeight w:val="1716"/>
        </w:trPr>
        <w:tc>
          <w:tcPr>
            <w:tcW w:w="914" w:type="dxa"/>
            <w:vAlign w:val="center"/>
          </w:tcPr>
          <w:p w14:paraId="7DB1DF31" w14:textId="77777777" w:rsidR="00367A47" w:rsidRPr="00845D33" w:rsidRDefault="00367A47" w:rsidP="00845D33">
            <w:pPr>
              <w:pStyle w:val="ListParagraph"/>
              <w:numPr>
                <w:ilvl w:val="0"/>
                <w:numId w:val="19"/>
              </w:numPr>
              <w:spacing w:before="20" w:after="20"/>
              <w:rPr>
                <w:rFonts w:ascii="Times New Roman" w:hAnsi="Times New Roman"/>
                <w:b/>
                <w:bCs/>
                <w:sz w:val="24"/>
              </w:rPr>
            </w:pPr>
          </w:p>
        </w:tc>
        <w:tc>
          <w:tcPr>
            <w:tcW w:w="992" w:type="dxa"/>
            <w:vAlign w:val="center"/>
          </w:tcPr>
          <w:p w14:paraId="2BCC693E" w14:textId="77777777" w:rsidR="00367A47" w:rsidRPr="000F1EC3" w:rsidRDefault="00367A47" w:rsidP="005E54B6">
            <w:pPr>
              <w:spacing w:before="20" w:after="20"/>
              <w:jc w:val="center"/>
              <w:rPr>
                <w:rFonts w:ascii="Times New Roman" w:hAnsi="Times New Roman"/>
                <w:b/>
                <w:bCs/>
                <w:sz w:val="24"/>
              </w:rPr>
            </w:pPr>
            <w:r w:rsidRPr="000F1EC3">
              <w:rPr>
                <w:rFonts w:ascii="Times New Roman" w:hAnsi="Times New Roman"/>
                <w:b/>
                <w:bCs/>
                <w:sz w:val="24"/>
              </w:rPr>
              <w:t>Điều 15</w:t>
            </w:r>
          </w:p>
        </w:tc>
        <w:tc>
          <w:tcPr>
            <w:tcW w:w="1620" w:type="dxa"/>
            <w:vAlign w:val="center"/>
          </w:tcPr>
          <w:p w14:paraId="5BEE2E89" w14:textId="77777777" w:rsidR="00367A47" w:rsidRPr="000F1EC3" w:rsidRDefault="00367A47" w:rsidP="005E54B6">
            <w:pPr>
              <w:spacing w:before="20" w:after="20"/>
              <w:jc w:val="center"/>
              <w:rPr>
                <w:rFonts w:ascii="Times New Roman" w:hAnsi="Times New Roman"/>
                <w:b/>
                <w:sz w:val="24"/>
              </w:rPr>
            </w:pPr>
            <w:r w:rsidRPr="000F1EC3">
              <w:rPr>
                <w:rFonts w:ascii="Times New Roman" w:hAnsi="Times New Roman"/>
                <w:b/>
                <w:sz w:val="24"/>
              </w:rPr>
              <w:t>Thanh tra Chính phủ</w:t>
            </w:r>
          </w:p>
          <w:p w14:paraId="5B7C34C1" w14:textId="77777777" w:rsidR="00367A47" w:rsidRPr="000F1EC3" w:rsidRDefault="00367A47" w:rsidP="005E54B6">
            <w:pPr>
              <w:spacing w:before="20" w:after="20"/>
              <w:jc w:val="center"/>
              <w:rPr>
                <w:rFonts w:ascii="Times New Roman" w:hAnsi="Times New Roman"/>
                <w:b/>
                <w:sz w:val="24"/>
              </w:rPr>
            </w:pPr>
            <w:r w:rsidRPr="000F1EC3">
              <w:rPr>
                <w:rFonts w:ascii="Times New Roman" w:hAnsi="Times New Roman"/>
                <w:b/>
                <w:sz w:val="24"/>
              </w:rPr>
              <w:t>(Văn bản số 1317/ TTCP- C.VII ngày 07/5/2026)</w:t>
            </w:r>
          </w:p>
        </w:tc>
        <w:tc>
          <w:tcPr>
            <w:tcW w:w="8872" w:type="dxa"/>
            <w:vAlign w:val="center"/>
          </w:tcPr>
          <w:p w14:paraId="4700BB09" w14:textId="77777777" w:rsidR="00367A47" w:rsidRPr="000F1EC3" w:rsidRDefault="00367A47" w:rsidP="005E54B6">
            <w:pPr>
              <w:spacing w:before="20" w:after="20"/>
              <w:jc w:val="both"/>
              <w:rPr>
                <w:rFonts w:ascii="Times New Roman" w:hAnsi="Times New Roman"/>
                <w:sz w:val="24"/>
              </w:rPr>
            </w:pPr>
            <w:r w:rsidRPr="000F1EC3">
              <w:rPr>
                <w:rFonts w:ascii="Times New Roman" w:hAnsi="Times New Roman"/>
                <w:sz w:val="24"/>
              </w:rPr>
              <w:t>Đề nghị bỏ Điều 15 do tổ chức và hoạt động của Thanh tra Hàng hải Việt Nam (thanh tra được thành lập theo Điều ước quốc tế) đã được quy định tại Luạt Thanh tra năm 2025, Nghị định số 216/2025/NĐ-CP</w:t>
            </w:r>
          </w:p>
        </w:tc>
        <w:tc>
          <w:tcPr>
            <w:tcW w:w="2793" w:type="dxa"/>
            <w:vAlign w:val="center"/>
          </w:tcPr>
          <w:p w14:paraId="021429D5" w14:textId="17B3D656" w:rsidR="00367A47" w:rsidRPr="000F1EC3" w:rsidRDefault="00367A47" w:rsidP="005E54B6">
            <w:pPr>
              <w:spacing w:before="20" w:after="20"/>
              <w:jc w:val="both"/>
              <w:rPr>
                <w:rFonts w:ascii="Times New Roman" w:hAnsi="Times New Roman"/>
                <w:sz w:val="24"/>
              </w:rPr>
            </w:pPr>
            <w:r w:rsidRPr="000F1EC3">
              <w:rPr>
                <w:rFonts w:ascii="Times New Roman" w:hAnsi="Times New Roman"/>
                <w:sz w:val="24"/>
              </w:rPr>
              <w:t>Tiếp thu, dự thảo đã bỏ quy định này.</w:t>
            </w:r>
          </w:p>
        </w:tc>
      </w:tr>
      <w:tr w:rsidR="00367A47" w:rsidRPr="000F1EC3" w14:paraId="6D6C53C8" w14:textId="77777777" w:rsidTr="00845D33">
        <w:trPr>
          <w:gridAfter w:val="1"/>
          <w:wAfter w:w="8" w:type="dxa"/>
          <w:trHeight w:val="1716"/>
        </w:trPr>
        <w:tc>
          <w:tcPr>
            <w:tcW w:w="914" w:type="dxa"/>
            <w:vMerge w:val="restart"/>
            <w:vAlign w:val="center"/>
          </w:tcPr>
          <w:p w14:paraId="193A897D" w14:textId="77777777" w:rsidR="00367A47" w:rsidRPr="00845D33" w:rsidRDefault="00367A47" w:rsidP="00845D33">
            <w:pPr>
              <w:pStyle w:val="ListParagraph"/>
              <w:numPr>
                <w:ilvl w:val="0"/>
                <w:numId w:val="19"/>
              </w:numPr>
              <w:spacing w:before="20" w:after="20"/>
              <w:rPr>
                <w:rFonts w:ascii="Times New Roman" w:hAnsi="Times New Roman"/>
                <w:b/>
                <w:bCs/>
                <w:sz w:val="24"/>
              </w:rPr>
            </w:pPr>
          </w:p>
        </w:tc>
        <w:tc>
          <w:tcPr>
            <w:tcW w:w="992" w:type="dxa"/>
            <w:vMerge w:val="restart"/>
            <w:vAlign w:val="center"/>
          </w:tcPr>
          <w:p w14:paraId="75B950CE" w14:textId="77777777" w:rsidR="00367A47" w:rsidRPr="000F1EC3" w:rsidRDefault="00367A47" w:rsidP="005E54B6">
            <w:pPr>
              <w:spacing w:before="20" w:after="20"/>
              <w:jc w:val="center"/>
              <w:rPr>
                <w:rFonts w:ascii="Times New Roman" w:hAnsi="Times New Roman"/>
                <w:b/>
                <w:bCs/>
                <w:sz w:val="24"/>
              </w:rPr>
            </w:pPr>
            <w:r w:rsidRPr="000F1EC3">
              <w:rPr>
                <w:rFonts w:ascii="Times New Roman" w:hAnsi="Times New Roman"/>
                <w:b/>
                <w:bCs/>
                <w:sz w:val="24"/>
              </w:rPr>
              <w:t>Điều 16</w:t>
            </w:r>
          </w:p>
        </w:tc>
        <w:tc>
          <w:tcPr>
            <w:tcW w:w="1620" w:type="dxa"/>
            <w:vAlign w:val="center"/>
          </w:tcPr>
          <w:p w14:paraId="615DEB37" w14:textId="77777777" w:rsidR="00367A47" w:rsidRPr="000F1EC3" w:rsidRDefault="00367A47" w:rsidP="005E54B6">
            <w:pPr>
              <w:spacing w:before="20" w:after="20"/>
              <w:jc w:val="center"/>
              <w:rPr>
                <w:rFonts w:ascii="Times New Roman" w:hAnsi="Times New Roman"/>
                <w:b/>
                <w:sz w:val="24"/>
              </w:rPr>
            </w:pPr>
            <w:r w:rsidRPr="000F1EC3">
              <w:rPr>
                <w:rFonts w:ascii="Times New Roman" w:hAnsi="Times New Roman"/>
                <w:b/>
                <w:sz w:val="24"/>
              </w:rPr>
              <w:t>Thanh tra Chính phủ</w:t>
            </w:r>
          </w:p>
          <w:p w14:paraId="6B158AE6" w14:textId="77777777" w:rsidR="00367A47" w:rsidRPr="000F1EC3" w:rsidRDefault="00367A47" w:rsidP="005E54B6">
            <w:pPr>
              <w:spacing w:before="20" w:after="20"/>
              <w:jc w:val="center"/>
              <w:rPr>
                <w:rFonts w:ascii="Times New Roman" w:hAnsi="Times New Roman"/>
                <w:b/>
                <w:sz w:val="24"/>
              </w:rPr>
            </w:pPr>
            <w:r w:rsidRPr="000F1EC3">
              <w:rPr>
                <w:rFonts w:ascii="Times New Roman" w:hAnsi="Times New Roman"/>
                <w:b/>
                <w:sz w:val="24"/>
              </w:rPr>
              <w:t>(Văn bản số 1317/ TTCP- C.VII ngày 07/5/2026)</w:t>
            </w:r>
          </w:p>
        </w:tc>
        <w:tc>
          <w:tcPr>
            <w:tcW w:w="8872" w:type="dxa"/>
            <w:vAlign w:val="center"/>
          </w:tcPr>
          <w:p w14:paraId="347E854D" w14:textId="03797F2A" w:rsidR="00367A47" w:rsidRPr="000F1EC3" w:rsidRDefault="00367A47" w:rsidP="005E54B6">
            <w:pPr>
              <w:spacing w:before="20" w:after="20"/>
              <w:jc w:val="both"/>
              <w:rPr>
                <w:rFonts w:ascii="Times New Roman" w:hAnsi="Times New Roman"/>
                <w:sz w:val="24"/>
              </w:rPr>
            </w:pPr>
            <w:r w:rsidRPr="000F1EC3">
              <w:rPr>
                <w:rFonts w:ascii="Times New Roman" w:hAnsi="Times New Roman"/>
                <w:sz w:val="24"/>
              </w:rPr>
              <w:t>Đề nghị rà soát để tránh lặp lại vì tại khoản 41, khoản 54 Điều 4 đã quy định, giải thích từ ngữ về những nội dung này. Đồng thời rà soát các nội dung tương tự tại Điều 17, Điều 24, Điều 31 dự thảo Bộ luật để tránh trùng lặp các nội dung tương ứng đã quy định tại Điều 4.</w:t>
            </w:r>
          </w:p>
        </w:tc>
        <w:tc>
          <w:tcPr>
            <w:tcW w:w="2793" w:type="dxa"/>
            <w:vAlign w:val="center"/>
          </w:tcPr>
          <w:p w14:paraId="74CCBC9A" w14:textId="6FC0086A" w:rsidR="00367A47" w:rsidRPr="000F1EC3" w:rsidRDefault="00367A47" w:rsidP="005E54B6">
            <w:pPr>
              <w:spacing w:before="20" w:after="20"/>
              <w:jc w:val="both"/>
              <w:rPr>
                <w:rFonts w:ascii="Times New Roman" w:hAnsi="Times New Roman"/>
                <w:sz w:val="24"/>
              </w:rPr>
            </w:pPr>
            <w:r w:rsidRPr="000F1EC3">
              <w:rPr>
                <w:rFonts w:ascii="Times New Roman" w:hAnsi="Times New Roman"/>
                <w:sz w:val="24"/>
              </w:rPr>
              <w:t>Tiếp thu, rà soát và chỉnh sửa.</w:t>
            </w:r>
          </w:p>
        </w:tc>
      </w:tr>
      <w:tr w:rsidR="005E54B6" w:rsidRPr="000F1EC3" w14:paraId="6FF9C5CF" w14:textId="77777777" w:rsidTr="001B580E">
        <w:trPr>
          <w:gridAfter w:val="1"/>
          <w:wAfter w:w="8" w:type="dxa"/>
        </w:trPr>
        <w:tc>
          <w:tcPr>
            <w:tcW w:w="914" w:type="dxa"/>
            <w:vMerge/>
            <w:vAlign w:val="center"/>
          </w:tcPr>
          <w:p w14:paraId="5295F0CB"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5D438CA9"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0378255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Công ty TNHH MTV Thông tin điện tử hàng hải Việt Nam (văn bản số 1657/VISIPEL-KHĐT ngày 8/5/2026)</w:t>
            </w:r>
          </w:p>
        </w:tc>
        <w:tc>
          <w:tcPr>
            <w:tcW w:w="8872" w:type="dxa"/>
            <w:vAlign w:val="center"/>
          </w:tcPr>
          <w:p w14:paraId="333D03F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1 Điều 16 của Dự thảo Bộ luật, đề nghị bổ sung “Hệ thống thông tin duyên hải” để đồng bộ với khoản 41 Điều 4 của Dự thảo Bộ luật.</w:t>
            </w:r>
          </w:p>
        </w:tc>
        <w:tc>
          <w:tcPr>
            <w:tcW w:w="2793" w:type="dxa"/>
            <w:vAlign w:val="center"/>
          </w:tcPr>
          <w:p w14:paraId="46CE35FB" w14:textId="71145A8E"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Đề nghị giữ nguyên như dự thảo do khái niệm không xuất hiện trong toàn dự thảo văn bản.</w:t>
            </w:r>
          </w:p>
        </w:tc>
      </w:tr>
      <w:tr w:rsidR="005E54B6" w:rsidRPr="000F1EC3" w14:paraId="3DAD8B83" w14:textId="77777777" w:rsidTr="001B580E">
        <w:trPr>
          <w:gridAfter w:val="1"/>
          <w:wAfter w:w="8" w:type="dxa"/>
        </w:trPr>
        <w:tc>
          <w:tcPr>
            <w:tcW w:w="914" w:type="dxa"/>
            <w:vMerge/>
            <w:vAlign w:val="center"/>
          </w:tcPr>
          <w:p w14:paraId="5C26780E"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4AD8939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1A3E8C4"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3825954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14DC71D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1: Kết cấu hạ tầng hàng hải là hệ thống công trình, thiết bị, luồng tuyến và hạ tầng kỹ thuật phục vụ hoạt động hàng hải, bảo đảm an toàn, an ninh hàng hải và quản lý giao thông tàu thuyền.</w:t>
            </w:r>
          </w:p>
          <w:p w14:paraId="68078BD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Lý do: </w:t>
            </w:r>
            <w:r w:rsidRPr="000F1EC3">
              <w:rPr>
                <w:rFonts w:ascii="Times New Roman" w:hAnsi="Times New Roman"/>
                <w:bCs/>
                <w:iCs/>
                <w:sz w:val="24"/>
              </w:rPr>
              <w:t>Sửa đổi nhằm chuẩn hóa khái niệm “kết cấu hạ tầng hàng hải” theo hướng khái quát, bảo đảm tính ổn định và phù hợp với xu hướng phát triển của hệ thống hạ tầng hàng hải hiện đại.</w:t>
            </w:r>
          </w:p>
        </w:tc>
        <w:tc>
          <w:tcPr>
            <w:tcW w:w="2793" w:type="dxa"/>
            <w:vAlign w:val="center"/>
          </w:tcPr>
          <w:p w14:paraId="048D5975" w14:textId="27B77923"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dự thảo đã bỏ quy định khái niệm này.</w:t>
            </w:r>
          </w:p>
        </w:tc>
      </w:tr>
      <w:tr w:rsidR="005E54B6" w:rsidRPr="000F1EC3" w14:paraId="1E7F0B65" w14:textId="77777777" w:rsidTr="001B580E">
        <w:trPr>
          <w:gridAfter w:val="1"/>
          <w:wAfter w:w="8" w:type="dxa"/>
        </w:trPr>
        <w:tc>
          <w:tcPr>
            <w:tcW w:w="914" w:type="dxa"/>
            <w:vMerge w:val="restart"/>
            <w:vAlign w:val="center"/>
          </w:tcPr>
          <w:p w14:paraId="45CDE84C"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Merge w:val="restart"/>
            <w:vAlign w:val="center"/>
          </w:tcPr>
          <w:p w14:paraId="07557EE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Điều 17</w:t>
            </w:r>
          </w:p>
        </w:tc>
        <w:tc>
          <w:tcPr>
            <w:tcW w:w="1620" w:type="dxa"/>
            <w:vAlign w:val="center"/>
          </w:tcPr>
          <w:p w14:paraId="75F349B3"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115F3EAF"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lastRenderedPageBreak/>
              <w:t>(Văn bản số 3107/BQP-PC ngày 11/5/2026)</w:t>
            </w:r>
          </w:p>
        </w:tc>
        <w:tc>
          <w:tcPr>
            <w:tcW w:w="8872" w:type="dxa"/>
            <w:vAlign w:val="center"/>
          </w:tcPr>
          <w:p w14:paraId="0DF46D5C" w14:textId="34E2E7CE"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Khoản 3</w:t>
            </w:r>
            <w:r w:rsidR="0081493C" w:rsidRPr="000F1EC3">
              <w:rPr>
                <w:rFonts w:ascii="Times New Roman" w:hAnsi="Times New Roman"/>
                <w:sz w:val="24"/>
              </w:rPr>
              <w:t xml:space="preserve"> </w:t>
            </w:r>
            <w:r w:rsidRPr="000F1EC3">
              <w:rPr>
                <w:rFonts w:ascii="Times New Roman" w:hAnsi="Times New Roman"/>
                <w:sz w:val="24"/>
              </w:rPr>
              <w:t>Đề nghị bổ sung các từ “vùng nước”, “quân sự” thành: “Hoạt động trong vùng nước cảng quân sự do cơ quan có thẩm quyền thuộc Bộ Quốc phòng quản lý”</w:t>
            </w:r>
          </w:p>
        </w:tc>
        <w:tc>
          <w:tcPr>
            <w:tcW w:w="2793" w:type="dxa"/>
            <w:vAlign w:val="center"/>
          </w:tcPr>
          <w:p w14:paraId="75141538" w14:textId="1A872CAC"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 xml:space="preserve">Đề nghị giữ nguyên như dự thảo do đã loại trừ đối </w:t>
            </w:r>
            <w:r w:rsidRPr="000F1EC3">
              <w:rPr>
                <w:rFonts w:ascii="Times New Roman" w:hAnsi="Times New Roman"/>
                <w:sz w:val="24"/>
              </w:rPr>
              <w:lastRenderedPageBreak/>
              <w:t>tượng này tại khoản 2 Điều 1 dự thảo Bộ luật.</w:t>
            </w:r>
          </w:p>
        </w:tc>
      </w:tr>
      <w:tr w:rsidR="005E54B6" w:rsidRPr="000F1EC3" w14:paraId="153121E0" w14:textId="77777777" w:rsidTr="001B580E">
        <w:trPr>
          <w:gridAfter w:val="1"/>
          <w:wAfter w:w="8" w:type="dxa"/>
        </w:trPr>
        <w:tc>
          <w:tcPr>
            <w:tcW w:w="914" w:type="dxa"/>
            <w:vMerge/>
            <w:vAlign w:val="center"/>
          </w:tcPr>
          <w:p w14:paraId="0AE4D386"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07936724"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3CE8910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ĐBQH Hải Phòng (văn bản số 42/DBQH-CTQH ngày 12/5/2026)</w:t>
            </w:r>
          </w:p>
        </w:tc>
        <w:tc>
          <w:tcPr>
            <w:tcW w:w="8872" w:type="dxa"/>
            <w:vAlign w:val="center"/>
          </w:tcPr>
          <w:p w14:paraId="411118F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4 mới chỉ quy định cảng xanh, cảng thông minh “phải đáp ứng tiêu chuẩn” nhưng chưa có lộ trình áp dụng bắt buộc. Các cảng lớn như Singapore, Rotterdam đã có mốc chuyển đổi cụ thể. Lộ trình rõ ràng sẽ thúc đẩy đầu tư sớm và tăng khả năng cạnh tranh. Đề nghị quy định tiêu chí, lộ trình bắt buộc áp dụng tiêu chuẩn cảng xanh đối với các cảng biển đặc biệt và loại I từ 2030 (hoặc giao Thủ tướng quy định), phù hợp với cam kết Net Zero 2050 của Việt Nam.</w:t>
            </w:r>
          </w:p>
        </w:tc>
        <w:tc>
          <w:tcPr>
            <w:tcW w:w="2793" w:type="dxa"/>
            <w:vAlign w:val="center"/>
          </w:tcPr>
          <w:p w14:paraId="47F821AF" w14:textId="6AF0A364"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được giao Chính phủ quy định.</w:t>
            </w:r>
          </w:p>
        </w:tc>
      </w:tr>
      <w:tr w:rsidR="005E54B6" w:rsidRPr="000F1EC3" w14:paraId="1FE8A697" w14:textId="77777777" w:rsidTr="001B580E">
        <w:trPr>
          <w:gridAfter w:val="1"/>
          <w:wAfter w:w="8" w:type="dxa"/>
        </w:trPr>
        <w:tc>
          <w:tcPr>
            <w:tcW w:w="914" w:type="dxa"/>
            <w:vMerge/>
            <w:vAlign w:val="center"/>
          </w:tcPr>
          <w:p w14:paraId="18ED460D"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61A512A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4C85CE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Hà Tĩnh (văn bản số 2546/SXD-QLVT ngày 11/5/2026)</w:t>
            </w:r>
          </w:p>
        </w:tc>
        <w:tc>
          <w:tcPr>
            <w:tcW w:w="8872" w:type="dxa"/>
            <w:vAlign w:val="center"/>
          </w:tcPr>
          <w:p w14:paraId="65A1603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1 Điều 17 có lỗi diễn đạt “để bốc dỡ, hàng hóa” đề nghị sửa thành “để bốc dỡ hàng hóa”. Lý do: Thống nhất sử dụng từ ngữ, tránh trùng lặp</w:t>
            </w:r>
          </w:p>
        </w:tc>
        <w:tc>
          <w:tcPr>
            <w:tcW w:w="2793" w:type="dxa"/>
            <w:vAlign w:val="center"/>
          </w:tcPr>
          <w:p w14:paraId="7AF4E456" w14:textId="46626665"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68633570" w14:textId="77777777" w:rsidTr="001B580E">
        <w:trPr>
          <w:gridAfter w:val="1"/>
          <w:wAfter w:w="8" w:type="dxa"/>
        </w:trPr>
        <w:tc>
          <w:tcPr>
            <w:tcW w:w="914" w:type="dxa"/>
            <w:vMerge/>
            <w:vAlign w:val="center"/>
          </w:tcPr>
          <w:p w14:paraId="3B4B9F56"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5F2C6DB9"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67A36FC"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Quảng Ngãi (văn bản số 3329/SXD-ATGT ngày 12/5/2026)</w:t>
            </w:r>
          </w:p>
        </w:tc>
        <w:tc>
          <w:tcPr>
            <w:tcW w:w="8872" w:type="dxa"/>
            <w:vAlign w:val="center"/>
          </w:tcPr>
          <w:p w14:paraId="599C472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2, Điều 17: Dự thảo Bộ luật: “Cảng quân sự, cảng cá và cảng, bến thủy nội địa nằm trong vùng nước cảng biển chịu sự quản lý nhà nước về an toàn hàng hải, an ninh hàng hải, điều tiết giao thông, phòng, chống cháy, nổ và phòng ngừa ô nhiễm môi trường theo quy định của Bộ luật này”; đề nghị xem xét, bỏ nội dung “Cảng quân sự” để phù hợp với khoản 1, Điều 1 Nghị định số 34/2025/NĐ- CP ngày 25/02/2025 của Chính phủ.</w:t>
            </w:r>
          </w:p>
        </w:tc>
        <w:tc>
          <w:tcPr>
            <w:tcW w:w="2793" w:type="dxa"/>
            <w:vAlign w:val="center"/>
          </w:tcPr>
          <w:p w14:paraId="5B626255" w14:textId="40D54799"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 xml:space="preserve">Nội dung này đã được bãi bỏ tại dự thảo Bộ luật </w:t>
            </w:r>
          </w:p>
        </w:tc>
      </w:tr>
      <w:tr w:rsidR="005E54B6" w:rsidRPr="000F1EC3" w14:paraId="2ED153B0" w14:textId="77777777" w:rsidTr="001B580E">
        <w:trPr>
          <w:gridAfter w:val="1"/>
          <w:wAfter w:w="8" w:type="dxa"/>
        </w:trPr>
        <w:tc>
          <w:tcPr>
            <w:tcW w:w="914" w:type="dxa"/>
            <w:vMerge w:val="restart"/>
            <w:vAlign w:val="center"/>
          </w:tcPr>
          <w:p w14:paraId="4105EC5E" w14:textId="77777777" w:rsidR="005E54B6" w:rsidRPr="00845D33" w:rsidRDefault="005E54B6" w:rsidP="00845D33">
            <w:pPr>
              <w:pStyle w:val="ListParagraph"/>
              <w:numPr>
                <w:ilvl w:val="0"/>
                <w:numId w:val="19"/>
              </w:numPr>
              <w:spacing w:before="20" w:after="20"/>
              <w:rPr>
                <w:rFonts w:ascii="Times New Roman" w:hAnsi="Times New Roman"/>
                <w:b/>
                <w:bCs/>
                <w:sz w:val="24"/>
              </w:rPr>
            </w:pPr>
          </w:p>
        </w:tc>
        <w:tc>
          <w:tcPr>
            <w:tcW w:w="992" w:type="dxa"/>
            <w:vMerge w:val="restart"/>
            <w:vAlign w:val="center"/>
          </w:tcPr>
          <w:p w14:paraId="1B49B475"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Điều 18</w:t>
            </w:r>
          </w:p>
        </w:tc>
        <w:tc>
          <w:tcPr>
            <w:tcW w:w="1620" w:type="dxa"/>
            <w:vAlign w:val="center"/>
          </w:tcPr>
          <w:p w14:paraId="759CABF7"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Hưng Yên (văn bản số 2188/SXD-QLKCHT ngày 12/5/2026)</w:t>
            </w:r>
          </w:p>
        </w:tc>
        <w:tc>
          <w:tcPr>
            <w:tcW w:w="8872" w:type="dxa"/>
            <w:vAlign w:val="center"/>
          </w:tcPr>
          <w:p w14:paraId="167E1D2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Đối với khoản 1 Điều 18 dự thảo Bộ Luật: Tiêu chí “Có vùng nước nối thông với biển” là tiêu chí chưa rõ ràng để xác định cảng biển. Hiện nay vùng nước hàng hải tại các sông đều vào trong đất liền. Nếu theo dự thảo Bộ Luật quy định thì hầu hết các sông của tỉnh đều có thể phát triển cảng biển là không hợp lý. Đề nghị sửa đổi tiêu chí này thành “có vùng nước nằm trong vùng nước cảng biển được cơ quan có thẩm quyền công bố”.</w:t>
            </w:r>
          </w:p>
        </w:tc>
        <w:tc>
          <w:tcPr>
            <w:tcW w:w="2793" w:type="dxa"/>
            <w:vAlign w:val="center"/>
          </w:tcPr>
          <w:p w14:paraId="7F31A69A" w14:textId="4BF4EF66"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đã được rà soát, bãi bỏ tại dự thảo Bộ luật.</w:t>
            </w:r>
          </w:p>
        </w:tc>
      </w:tr>
      <w:tr w:rsidR="005E54B6" w:rsidRPr="000F1EC3" w14:paraId="6D5C9E41" w14:textId="77777777" w:rsidTr="001B580E">
        <w:trPr>
          <w:gridAfter w:val="1"/>
          <w:wAfter w:w="8" w:type="dxa"/>
        </w:trPr>
        <w:tc>
          <w:tcPr>
            <w:tcW w:w="914" w:type="dxa"/>
            <w:vMerge/>
            <w:vAlign w:val="center"/>
          </w:tcPr>
          <w:p w14:paraId="2F845696"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02FA958F"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24832FD" w14:textId="503436B2" w:rsidR="005E54B6" w:rsidRPr="000F1EC3" w:rsidRDefault="005E54B6" w:rsidP="005E54B6">
            <w:pPr>
              <w:spacing w:before="20" w:after="20"/>
              <w:jc w:val="center"/>
              <w:rPr>
                <w:rFonts w:ascii="Times New Roman" w:hAnsi="Times New Roman"/>
                <w:b/>
                <w:bCs/>
                <w:sz w:val="24"/>
              </w:rPr>
            </w:pPr>
          </w:p>
        </w:tc>
        <w:tc>
          <w:tcPr>
            <w:tcW w:w="8872" w:type="dxa"/>
            <w:vAlign w:val="center"/>
          </w:tcPr>
          <w:p w14:paraId="06D8FBEB" w14:textId="621163F2" w:rsidR="005E54B6" w:rsidRPr="000F1EC3" w:rsidRDefault="005E54B6" w:rsidP="005E54B6">
            <w:pPr>
              <w:spacing w:before="20" w:after="20"/>
              <w:jc w:val="both"/>
              <w:rPr>
                <w:rFonts w:ascii="Times New Roman" w:hAnsi="Times New Roman"/>
                <w:sz w:val="24"/>
              </w:rPr>
            </w:pPr>
          </w:p>
        </w:tc>
        <w:tc>
          <w:tcPr>
            <w:tcW w:w="2793" w:type="dxa"/>
            <w:vAlign w:val="center"/>
          </w:tcPr>
          <w:p w14:paraId="4D450EFB" w14:textId="375F6779" w:rsidR="005E54B6" w:rsidRPr="000F1EC3" w:rsidRDefault="005E54B6" w:rsidP="005E54B6">
            <w:pPr>
              <w:spacing w:before="20" w:after="20"/>
              <w:jc w:val="both"/>
              <w:rPr>
                <w:rFonts w:ascii="Times New Roman" w:hAnsi="Times New Roman"/>
                <w:sz w:val="24"/>
              </w:rPr>
            </w:pPr>
          </w:p>
        </w:tc>
      </w:tr>
      <w:tr w:rsidR="005E54B6" w:rsidRPr="000F1EC3" w14:paraId="09C12524" w14:textId="77777777" w:rsidTr="001B580E">
        <w:trPr>
          <w:gridAfter w:val="1"/>
          <w:wAfter w:w="8" w:type="dxa"/>
        </w:trPr>
        <w:tc>
          <w:tcPr>
            <w:tcW w:w="914" w:type="dxa"/>
            <w:vMerge/>
            <w:vAlign w:val="center"/>
          </w:tcPr>
          <w:p w14:paraId="1530131C" w14:textId="77777777" w:rsidR="005E54B6" w:rsidRPr="000F1EC3" w:rsidRDefault="005E54B6" w:rsidP="005E54B6">
            <w:pPr>
              <w:spacing w:before="20" w:after="20"/>
              <w:rPr>
                <w:rFonts w:ascii="Times New Roman" w:hAnsi="Times New Roman"/>
                <w:b/>
                <w:bCs/>
                <w:sz w:val="24"/>
              </w:rPr>
            </w:pPr>
          </w:p>
        </w:tc>
        <w:tc>
          <w:tcPr>
            <w:tcW w:w="992" w:type="dxa"/>
            <w:vMerge/>
            <w:vAlign w:val="center"/>
          </w:tcPr>
          <w:p w14:paraId="7059D76F"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1AABB5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 xml:space="preserve">UBND TP Hải Phòng (văn bản số </w:t>
            </w:r>
            <w:r w:rsidRPr="000F1EC3">
              <w:rPr>
                <w:rFonts w:ascii="Times New Roman" w:hAnsi="Times New Roman"/>
                <w:b/>
                <w:bCs/>
                <w:sz w:val="24"/>
              </w:rPr>
              <w:lastRenderedPageBreak/>
              <w:t>895/UBND-XDCT ngày 12/5/2026)</w:t>
            </w:r>
          </w:p>
        </w:tc>
        <w:tc>
          <w:tcPr>
            <w:tcW w:w="8872" w:type="dxa"/>
            <w:vAlign w:val="center"/>
          </w:tcPr>
          <w:p w14:paraId="4DE2599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Khoản 1 tiêu chí “Có vùng nước nối thông với biển” là tiêu chí chưa rõ ràng để xác định cảng biển đối với thành phố Hải Phòng. Do thành phố giáp biển, hầu hết các tuyến sông của thành phố đều nối thông với biển. Nếu theo dự thảo Bộ Luật quy định thì hầu hết các </w:t>
            </w:r>
            <w:r w:rsidRPr="000F1EC3">
              <w:rPr>
                <w:rFonts w:ascii="Times New Roman" w:hAnsi="Times New Roman"/>
                <w:sz w:val="24"/>
              </w:rPr>
              <w:lastRenderedPageBreak/>
              <w:t>sông của thành phố đều có thể phát triển cảng biển là không hợp lý. Đề nghị sửa đổi tiêu chí này thành “có vùng nước nằm trong vùng nước cảng biển được cơ quan có thẩm quyền công bố”.</w:t>
            </w:r>
          </w:p>
        </w:tc>
        <w:tc>
          <w:tcPr>
            <w:tcW w:w="2793" w:type="dxa"/>
            <w:vAlign w:val="center"/>
          </w:tcPr>
          <w:p w14:paraId="7F94C7C7" w14:textId="625B942A"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Nội dung này đã được rà soát, bãi bỏ tại dự thảo Bộ luật.</w:t>
            </w:r>
          </w:p>
        </w:tc>
      </w:tr>
      <w:tr w:rsidR="0087479E" w:rsidRPr="000F1EC3" w14:paraId="1F72FF81" w14:textId="77777777" w:rsidTr="00845D33">
        <w:trPr>
          <w:gridAfter w:val="1"/>
          <w:wAfter w:w="8" w:type="dxa"/>
          <w:trHeight w:val="2122"/>
        </w:trPr>
        <w:tc>
          <w:tcPr>
            <w:tcW w:w="914" w:type="dxa"/>
            <w:vAlign w:val="center"/>
          </w:tcPr>
          <w:p w14:paraId="3C01C057" w14:textId="77777777" w:rsidR="0087479E" w:rsidRPr="00845D33" w:rsidRDefault="0087479E" w:rsidP="00845D33">
            <w:pPr>
              <w:pStyle w:val="ListParagraph"/>
              <w:numPr>
                <w:ilvl w:val="0"/>
                <w:numId w:val="19"/>
              </w:numPr>
              <w:spacing w:before="20" w:after="20"/>
              <w:rPr>
                <w:rFonts w:ascii="Times New Roman" w:hAnsi="Times New Roman"/>
                <w:b/>
                <w:bCs/>
                <w:sz w:val="24"/>
              </w:rPr>
            </w:pPr>
          </w:p>
        </w:tc>
        <w:tc>
          <w:tcPr>
            <w:tcW w:w="992" w:type="dxa"/>
            <w:vAlign w:val="center"/>
          </w:tcPr>
          <w:p w14:paraId="2A3C8CF8" w14:textId="77777777" w:rsidR="0087479E" w:rsidRPr="000F1EC3" w:rsidRDefault="0087479E" w:rsidP="005E54B6">
            <w:pPr>
              <w:spacing w:before="20" w:after="20"/>
              <w:jc w:val="center"/>
              <w:rPr>
                <w:rFonts w:ascii="Times New Roman" w:hAnsi="Times New Roman"/>
                <w:b/>
                <w:bCs/>
                <w:sz w:val="24"/>
              </w:rPr>
            </w:pPr>
            <w:r w:rsidRPr="000F1EC3">
              <w:rPr>
                <w:rFonts w:ascii="Times New Roman" w:hAnsi="Times New Roman"/>
                <w:b/>
                <w:bCs/>
                <w:sz w:val="24"/>
              </w:rPr>
              <w:t>Điều 20</w:t>
            </w:r>
          </w:p>
        </w:tc>
        <w:tc>
          <w:tcPr>
            <w:tcW w:w="1620" w:type="dxa"/>
            <w:vAlign w:val="center"/>
          </w:tcPr>
          <w:p w14:paraId="35A5F42F" w14:textId="5BC49E4B" w:rsidR="0087479E" w:rsidRPr="000F1EC3" w:rsidRDefault="0087479E" w:rsidP="005E54B6">
            <w:pPr>
              <w:spacing w:before="20" w:after="20"/>
              <w:jc w:val="center"/>
              <w:rPr>
                <w:rFonts w:ascii="Times New Roman" w:hAnsi="Times New Roman"/>
                <w:b/>
                <w:bCs/>
                <w:sz w:val="24"/>
              </w:rPr>
            </w:pPr>
            <w:r w:rsidRPr="000F1EC3">
              <w:rPr>
                <w:rFonts w:ascii="Times New Roman" w:hAnsi="Times New Roman"/>
                <w:b/>
                <w:sz w:val="24"/>
              </w:rPr>
              <w:t>Bộ Công Thương (văn bản số 3357/BCT-PC ngày 13/5/2026)</w:t>
            </w:r>
          </w:p>
        </w:tc>
        <w:tc>
          <w:tcPr>
            <w:tcW w:w="8872" w:type="dxa"/>
            <w:vAlign w:val="center"/>
          </w:tcPr>
          <w:p w14:paraId="3A958013" w14:textId="722A1DB0" w:rsidR="0087479E" w:rsidRPr="000F1EC3" w:rsidRDefault="0087479E" w:rsidP="005E54B6">
            <w:pPr>
              <w:spacing w:before="20" w:after="20"/>
              <w:jc w:val="both"/>
              <w:rPr>
                <w:rFonts w:ascii="Times New Roman" w:hAnsi="Times New Roman"/>
                <w:sz w:val="24"/>
              </w:rPr>
            </w:pPr>
            <w:r w:rsidRPr="000F1EC3">
              <w:rPr>
                <w:rFonts w:ascii="Times New Roman" w:hAnsi="Times New Roman"/>
                <w:sz w:val="24"/>
              </w:rPr>
              <w:t>Đề nghị nghiên cứu bổ sung chức năng “đảm bảo an ninh năng lượng quốc gia” đối với các bến cảng chuyên dùng phục vụ nhiên liệu cho sản xuất điện.</w:t>
            </w:r>
          </w:p>
        </w:tc>
        <w:tc>
          <w:tcPr>
            <w:tcW w:w="2793" w:type="dxa"/>
            <w:vAlign w:val="center"/>
          </w:tcPr>
          <w:p w14:paraId="145F19F1" w14:textId="10414365" w:rsidR="0087479E" w:rsidRPr="000F1EC3" w:rsidRDefault="0087479E" w:rsidP="005E54B6">
            <w:pPr>
              <w:spacing w:before="20" w:after="20"/>
              <w:jc w:val="both"/>
              <w:rPr>
                <w:rFonts w:ascii="Times New Roman" w:hAnsi="Times New Roman"/>
                <w:sz w:val="24"/>
              </w:rPr>
            </w:pPr>
            <w:r w:rsidRPr="000F1EC3">
              <w:rPr>
                <w:rFonts w:ascii="Times New Roman" w:hAnsi="Times New Roman"/>
                <w:sz w:val="24"/>
              </w:rPr>
              <w:t>Nội dung này tổng hợp, nghiên cứu trong quá trình xây dựng các văn bản hướng dẫn thực hiện.</w:t>
            </w:r>
          </w:p>
        </w:tc>
      </w:tr>
      <w:tr w:rsidR="0081493C" w:rsidRPr="000F1EC3" w14:paraId="3749B718" w14:textId="77777777" w:rsidTr="001B580E">
        <w:trPr>
          <w:gridAfter w:val="1"/>
          <w:wAfter w:w="8" w:type="dxa"/>
        </w:trPr>
        <w:tc>
          <w:tcPr>
            <w:tcW w:w="914" w:type="dxa"/>
            <w:vAlign w:val="center"/>
          </w:tcPr>
          <w:p w14:paraId="487525FB" w14:textId="77777777" w:rsidR="0081493C" w:rsidRPr="00845D33" w:rsidRDefault="0081493C" w:rsidP="00845D33">
            <w:pPr>
              <w:pStyle w:val="ListParagraph"/>
              <w:numPr>
                <w:ilvl w:val="0"/>
                <w:numId w:val="19"/>
              </w:numPr>
              <w:spacing w:before="20" w:after="20"/>
              <w:rPr>
                <w:rFonts w:ascii="Times New Roman" w:hAnsi="Times New Roman"/>
                <w:b/>
                <w:bCs/>
                <w:sz w:val="24"/>
              </w:rPr>
            </w:pPr>
          </w:p>
        </w:tc>
        <w:tc>
          <w:tcPr>
            <w:tcW w:w="992" w:type="dxa"/>
            <w:vAlign w:val="center"/>
          </w:tcPr>
          <w:p w14:paraId="513EEF84"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Điều 24</w:t>
            </w:r>
          </w:p>
        </w:tc>
        <w:tc>
          <w:tcPr>
            <w:tcW w:w="1620" w:type="dxa"/>
            <w:vAlign w:val="center"/>
          </w:tcPr>
          <w:p w14:paraId="767772EA"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Lai Châu</w:t>
            </w:r>
          </w:p>
          <w:p w14:paraId="5F8084A6"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(Văn bản số 2228/SXD-KCHT ngày 09/5/2026)</w:t>
            </w:r>
          </w:p>
        </w:tc>
        <w:tc>
          <w:tcPr>
            <w:tcW w:w="8872" w:type="dxa"/>
            <w:vAlign w:val="center"/>
          </w:tcPr>
          <w:p w14:paraId="606DC811" w14:textId="7777777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Kiến nghị lựa chọn phương án 1, phương án này xác định rõ các thành phần cấu thành (vùng đất, vùng nước) cũng như các hạng mục công trình bắt buộc. Đặc biệt, có các tiêu chí định lượng cụ thể sẽ tạo hành lang pháp lý minh bạch, giúp cơ quan quản lý tại địa phương thuận lợi hơn trong công tác thẩm định thiết kế, cấp phép xây dựng và quản lý hành lang bảo vệ luồng</w:t>
            </w:r>
          </w:p>
        </w:tc>
        <w:tc>
          <w:tcPr>
            <w:tcW w:w="2793" w:type="dxa"/>
          </w:tcPr>
          <w:p w14:paraId="6EA1265D" w14:textId="2717313D"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59C65AA6" w14:textId="77777777" w:rsidTr="001B580E">
        <w:trPr>
          <w:gridAfter w:val="1"/>
          <w:wAfter w:w="8" w:type="dxa"/>
        </w:trPr>
        <w:tc>
          <w:tcPr>
            <w:tcW w:w="914" w:type="dxa"/>
            <w:vAlign w:val="center"/>
          </w:tcPr>
          <w:p w14:paraId="2201F08F"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3F765373"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396C30C7"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06981F82" w14:textId="77777777" w:rsidR="0081493C" w:rsidRPr="000F1EC3" w:rsidRDefault="0081493C" w:rsidP="0081493C">
            <w:pPr>
              <w:tabs>
                <w:tab w:val="left" w:pos="851"/>
              </w:tabs>
              <w:spacing w:before="20" w:after="20"/>
              <w:jc w:val="both"/>
              <w:rPr>
                <w:rFonts w:ascii="Times New Roman" w:hAnsi="Times New Roman"/>
                <w:spacing w:val="-2"/>
                <w:sz w:val="24"/>
              </w:rPr>
            </w:pPr>
            <w:r w:rsidRPr="000F1EC3">
              <w:rPr>
                <w:rFonts w:ascii="Times New Roman" w:hAnsi="Times New Roman"/>
                <w:spacing w:val="-2"/>
                <w:sz w:val="24"/>
              </w:rPr>
              <w:t xml:space="preserve">Bộ Nông nghiệp và Môi trường lựa chọn phương án 1 tại các Điều 24, 25, 26, 27, 28 được xây dựng có nội dung phù hợp và được đánh giá sâu hơn phương án 2. </w:t>
            </w:r>
          </w:p>
        </w:tc>
        <w:tc>
          <w:tcPr>
            <w:tcW w:w="2793" w:type="dxa"/>
          </w:tcPr>
          <w:p w14:paraId="14FD7035" w14:textId="14B3559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9978AB6" w14:textId="77777777" w:rsidTr="001B580E">
        <w:trPr>
          <w:gridAfter w:val="1"/>
          <w:wAfter w:w="8" w:type="dxa"/>
        </w:trPr>
        <w:tc>
          <w:tcPr>
            <w:tcW w:w="914" w:type="dxa"/>
            <w:vAlign w:val="center"/>
          </w:tcPr>
          <w:p w14:paraId="29907164"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255AD010"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27ECBB46"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Thanh Hóa (văn bản số 69/BC-ĐBQH ngày 8/5/2026)</w:t>
            </w:r>
          </w:p>
        </w:tc>
        <w:tc>
          <w:tcPr>
            <w:tcW w:w="8872" w:type="dxa"/>
            <w:vAlign w:val="center"/>
          </w:tcPr>
          <w:p w14:paraId="3FD92E8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2 để bảo đảm tính thống nhất giữa quy định giải thích từ ngữ tại Điều 4 và nội dung quy định về cảng, bến thủy nội địa tại Điều 24; đồng thời phù hợp với cách tiếp cận quản lý tổng thể hệ thống kết cấu hạ tầng cảng thủy nội địa</w:t>
            </w:r>
          </w:p>
        </w:tc>
        <w:tc>
          <w:tcPr>
            <w:tcW w:w="2793" w:type="dxa"/>
          </w:tcPr>
          <w:p w14:paraId="09DA5FBD" w14:textId="475D4AE5"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BD76531" w14:textId="77777777" w:rsidTr="001B580E">
        <w:trPr>
          <w:gridAfter w:val="1"/>
          <w:wAfter w:w="8" w:type="dxa"/>
        </w:trPr>
        <w:tc>
          <w:tcPr>
            <w:tcW w:w="914" w:type="dxa"/>
            <w:vAlign w:val="center"/>
          </w:tcPr>
          <w:p w14:paraId="65B132AB"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59F1C00F"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2A61D58B"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064A0406"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Định nghĩa, tiêu chí xác định, chức năng, phân loại, nguyên tắc đặt tên, đổi tên Cảng, bến thủy nội địa: </w:t>
            </w:r>
          </w:p>
          <w:p w14:paraId="60891B71"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Đề xuất: Lựa chọn PA2 phù hợp hơn với định hướng vận tải thủy kết hợp logistics, cång/bến chuyên dùng gắn với khu công nghiệp và mô hình giao thoa biển - sông mà Tờ trình đã nêu là bất cập thực tiễn cần xử lý. </w:t>
            </w:r>
          </w:p>
          <w:p w14:paraId="06EE9FE9"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Ví dụ tại Điều 27 - Phân loại cảng, bến thủy nội địa, tại PA1: “Bến thủy nội địa gồm bến tổng hợp, bến hàng hóa, bến hành khách, bến chuyên dùng và bến khách ngang sông, có khả năng tiếp nhận phương tiện dưới 500 tấn hoặc phương tiện có sức chở dưới 70 khách”. Tuy nhiên thực tế tại khu vực phía Bắc, có nhiều Bến thủy nội địa trong đó tại Công ty có Bến thủy nội địa Hóa chất bắc Mông Dương II có khả năng tiếp nhận phương tiện trên 5.000 tấn. Do vậy để phù hợp với thực tiễn, Công ty kiến nghị lựa chọn PA2 trong Dự thảo.</w:t>
            </w:r>
          </w:p>
        </w:tc>
        <w:tc>
          <w:tcPr>
            <w:tcW w:w="2793" w:type="dxa"/>
          </w:tcPr>
          <w:p w14:paraId="0B7969AA" w14:textId="1A25F590"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6D7855DF" w14:textId="77777777" w:rsidTr="001B580E">
        <w:trPr>
          <w:gridAfter w:val="1"/>
          <w:wAfter w:w="8" w:type="dxa"/>
        </w:trPr>
        <w:tc>
          <w:tcPr>
            <w:tcW w:w="914" w:type="dxa"/>
            <w:vAlign w:val="center"/>
          </w:tcPr>
          <w:p w14:paraId="2151D8C0"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5BF51052"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637FFA12"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3FA96E0A"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Thống nhất chọn phương án 2.</w:t>
            </w:r>
          </w:p>
          <w:p w14:paraId="61EF45E1"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Lý do: cho thống nhất, cũng như phù hợp với phần giải thích từ ngữ tại Khoản 25 (Cảng thủy nội địa) tại Điều 4 của Bộ Luật này.</w:t>
            </w:r>
          </w:p>
        </w:tc>
        <w:tc>
          <w:tcPr>
            <w:tcW w:w="2793" w:type="dxa"/>
          </w:tcPr>
          <w:p w14:paraId="3358B72F" w14:textId="67BA2953"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A37F167" w14:textId="77777777" w:rsidTr="001B580E">
        <w:trPr>
          <w:gridAfter w:val="1"/>
          <w:wAfter w:w="8" w:type="dxa"/>
        </w:trPr>
        <w:tc>
          <w:tcPr>
            <w:tcW w:w="914" w:type="dxa"/>
            <w:vAlign w:val="center"/>
          </w:tcPr>
          <w:p w14:paraId="3C833703"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10E23041"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061F000"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Đắc Lắc (văn bản số 121/ĐBQH-VP ngày 13/5/2026)</w:t>
            </w:r>
          </w:p>
        </w:tc>
        <w:tc>
          <w:tcPr>
            <w:tcW w:w="8872" w:type="dxa"/>
            <w:vAlign w:val="center"/>
          </w:tcPr>
          <w:p w14:paraId="5841074A"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Thực tiễn quản lý cho thấy có sự giao thoa rất lớn giữa vùng nước cảng biển và đường thủy nội địa. Hàng hóa container trung chuyển từ cảng biển vào nội địa rất cần sự kết nối thông suốt, nhiều cảng thủy nội địa hiện nay (đặc biệt tại phía Nam) hoàn toàn đủ năng lực tiếp nhận tàu biển. Do đó, Đoàn ĐBQH tỉnh thống nhất lựa chọn Phương án 2 tại Điều 24 và Điều 25. Phương án này phản ánh đúng thực tiễn khai thác đa phương thức, giúp giải quyết triệt để tình trạng ách tắc pháp lý khi tàu biển tiến sâu vào các tuyến sông để làm hàng.</w:t>
            </w:r>
          </w:p>
        </w:tc>
        <w:tc>
          <w:tcPr>
            <w:tcW w:w="2793" w:type="dxa"/>
          </w:tcPr>
          <w:p w14:paraId="51C1932C" w14:textId="3211199D"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7AAB763" w14:textId="77777777" w:rsidTr="001B580E">
        <w:trPr>
          <w:gridAfter w:val="1"/>
          <w:wAfter w:w="8" w:type="dxa"/>
        </w:trPr>
        <w:tc>
          <w:tcPr>
            <w:tcW w:w="914" w:type="dxa"/>
            <w:vAlign w:val="center"/>
          </w:tcPr>
          <w:p w14:paraId="1F34BDE8"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45663DAE"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E59123A"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ĐBQH Điện Biên (văn bản số 75/DBQH-VP ngày 13/5/2026)</w:t>
            </w:r>
          </w:p>
        </w:tc>
        <w:tc>
          <w:tcPr>
            <w:tcW w:w="8872" w:type="dxa"/>
            <w:vAlign w:val="center"/>
          </w:tcPr>
          <w:p w14:paraId="3A1D28FE"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theo Phương án 2, tuy nhiên nội dung quy định tại khoản 1 của Phương án 2 đã được quy định tại khoản 25 Điều 4 của dự thảo, đề nghị Bộ Xây dựng rà soát, điều chỉnh để không trùng lặp nội dung.</w:t>
            </w:r>
          </w:p>
        </w:tc>
        <w:tc>
          <w:tcPr>
            <w:tcW w:w="2793" w:type="dxa"/>
          </w:tcPr>
          <w:p w14:paraId="0BBA5DBC" w14:textId="6EFD984B"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C4AC1B3" w14:textId="77777777" w:rsidTr="001B580E">
        <w:trPr>
          <w:gridAfter w:val="1"/>
          <w:wAfter w:w="8" w:type="dxa"/>
        </w:trPr>
        <w:tc>
          <w:tcPr>
            <w:tcW w:w="914" w:type="dxa"/>
            <w:vAlign w:val="center"/>
          </w:tcPr>
          <w:p w14:paraId="3B4A0C62"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22C9E704"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36B04F02"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Lào Cai (văn bản số 2441/SXD-VTPTNL ngày 8/5/2026)</w:t>
            </w:r>
          </w:p>
        </w:tc>
        <w:tc>
          <w:tcPr>
            <w:tcW w:w="8872" w:type="dxa"/>
            <w:vAlign w:val="center"/>
          </w:tcPr>
          <w:p w14:paraId="24D3CF4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PA2 nhằm phát triển hệ thống cảng, bến thủy nội địa theo xu hướng hình thành các tổ hợp cảng, logistics và kết nối đa phương thức; quản lý theo khu vực cảng bao gồm vùng đất và vùng nước, phù hợp với yêu cầu quy hoạch và phát triển hiện đại.</w:t>
            </w:r>
          </w:p>
        </w:tc>
        <w:tc>
          <w:tcPr>
            <w:tcW w:w="2793" w:type="dxa"/>
          </w:tcPr>
          <w:p w14:paraId="6CC49310" w14:textId="4EC7F722"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46CE07A" w14:textId="77777777" w:rsidTr="001B580E">
        <w:trPr>
          <w:gridAfter w:val="1"/>
          <w:wAfter w:w="8" w:type="dxa"/>
        </w:trPr>
        <w:tc>
          <w:tcPr>
            <w:tcW w:w="914" w:type="dxa"/>
            <w:vAlign w:val="center"/>
          </w:tcPr>
          <w:p w14:paraId="6AF5D7A7"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745F0385"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C170E35"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Tây Ninh (văn bản số 106/DBQH-CTQH ngày 13/5/2026)</w:t>
            </w:r>
          </w:p>
        </w:tc>
        <w:tc>
          <w:tcPr>
            <w:tcW w:w="8872" w:type="dxa"/>
            <w:vAlign w:val="center"/>
          </w:tcPr>
          <w:p w14:paraId="1B890210"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xem xét lựa chọn Phương án 2 quy định về Cảng thủy nội địa để đảm bảo tính bao quát. Lý do: Việc chọn Phương án 2 quy định về cảng thủy nội địa bao gồm cả khu vực tiếp nhận tàu biển, điều này phù hợp với thực tế nhiều cảng sông hiện nay vẫn tiếp nhận tàu biển trọng tải phù hợp. Việc thống nhất khái niệm này giúp tối ưu hóa năng lực khai thác của hệ thống bến cảng hiện có và đồng bộ với hạ tầng vận tải đa phương thức.</w:t>
            </w:r>
          </w:p>
        </w:tc>
        <w:tc>
          <w:tcPr>
            <w:tcW w:w="2793" w:type="dxa"/>
          </w:tcPr>
          <w:p w14:paraId="7220EE8F" w14:textId="5F4E6911"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88C95AB" w14:textId="77777777" w:rsidTr="001B580E">
        <w:trPr>
          <w:gridAfter w:val="1"/>
          <w:wAfter w:w="8" w:type="dxa"/>
        </w:trPr>
        <w:tc>
          <w:tcPr>
            <w:tcW w:w="914" w:type="dxa"/>
            <w:vAlign w:val="center"/>
          </w:tcPr>
          <w:p w14:paraId="0FECA454"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0468F5AC"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49A58214"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Khánh Hòa (văn bản số 4773/SXD-QLVT ngày 11/5/2026)</w:t>
            </w:r>
          </w:p>
        </w:tc>
        <w:tc>
          <w:tcPr>
            <w:tcW w:w="8872" w:type="dxa"/>
            <w:vAlign w:val="center"/>
          </w:tcPr>
          <w:p w14:paraId="6D7C14C0"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PA 1. Tuy nhiên, để thống nhất việc giải thích từ ngữ tại các chương, chuyển về Chương I, đề nghị cơ quan soạn thảo bỏ nội dung khoản 1.</w:t>
            </w:r>
          </w:p>
        </w:tc>
        <w:tc>
          <w:tcPr>
            <w:tcW w:w="2793" w:type="dxa"/>
          </w:tcPr>
          <w:p w14:paraId="4C3501A3" w14:textId="4A8DEB3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A904FF4" w14:textId="77777777" w:rsidTr="001B580E">
        <w:trPr>
          <w:gridAfter w:val="1"/>
          <w:wAfter w:w="8" w:type="dxa"/>
        </w:trPr>
        <w:tc>
          <w:tcPr>
            <w:tcW w:w="914" w:type="dxa"/>
            <w:vAlign w:val="center"/>
          </w:tcPr>
          <w:p w14:paraId="34569797"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790246DB"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676538F1"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Vĩnh Long (văn bản số 3079/SXD-VTAT ngày 11/5/2026)</w:t>
            </w:r>
          </w:p>
        </w:tc>
        <w:tc>
          <w:tcPr>
            <w:tcW w:w="8872" w:type="dxa"/>
            <w:vAlign w:val="center"/>
          </w:tcPr>
          <w:p w14:paraId="31465948"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2 (không nêu lý do)</w:t>
            </w:r>
          </w:p>
        </w:tc>
        <w:tc>
          <w:tcPr>
            <w:tcW w:w="2793" w:type="dxa"/>
          </w:tcPr>
          <w:p w14:paraId="72DBEFED" w14:textId="39FAF324"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52F0AA0E" w14:textId="77777777" w:rsidTr="001B580E">
        <w:trPr>
          <w:gridAfter w:val="1"/>
          <w:wAfter w:w="8" w:type="dxa"/>
        </w:trPr>
        <w:tc>
          <w:tcPr>
            <w:tcW w:w="914" w:type="dxa"/>
            <w:vAlign w:val="center"/>
          </w:tcPr>
          <w:p w14:paraId="0D584366"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0E1E47FF"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3ABCADFF"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Quảng Trị (văn bản số 74/DBQH-CTQH ngày 11/5/2026)</w:t>
            </w:r>
          </w:p>
        </w:tc>
        <w:tc>
          <w:tcPr>
            <w:tcW w:w="8872" w:type="dxa"/>
            <w:vAlign w:val="center"/>
          </w:tcPr>
          <w:p w14:paraId="736BD77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Đoàn ĐBQH tỉnh Quảng Trị lựa chọn PA2 vì tính bao quát và sự tương thích cao với cấu trúc quản lý hạ tầng cảng biển. PA2 thiết lập một hệ thống phân cấp hạ tầng khoa học từ cảng đến bến và cầu cảng, giúp tránh được việc áp đặt quy mô cầu cảng một cách cơ học, thiếu linh hoạt như PA1. Việc cho phép cảng thủy nội địa tiếp nhận cả tàu biển là bước đột phá nhằm xử lý triệt để các khu vực giao thoa, đảm bảo sự thống nhất nội hàm giữa hai lĩnh vực trong cùng một Bộ luật. Bên cạnh đó, việc bổ sung quy định yêu cầu các cảng quân sự, công an phải tuân thủ an toàn, an ninh và phòng ngừa ô nhiễm môi trường là hết sức hợp lý, đảm bảo kỷ cương quản lý nhà nước trên mọi vùng nước. Quy định bắt buộc công bố hoạt động tại PA2 tạo hành lang pháp lý minh bạch, giúp doanh nghiệp và cơ quan quản lý dễ dàng vận hành và thực thi. Theo chúng tôi đây là lựa chọn tối ưu để thúc đẩy ngành vận tải thủy phát triển hiện đại và hội nhập quốc tế.</w:t>
            </w:r>
          </w:p>
        </w:tc>
        <w:tc>
          <w:tcPr>
            <w:tcW w:w="2793" w:type="dxa"/>
          </w:tcPr>
          <w:p w14:paraId="0B36DE09" w14:textId="3CB10E59"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25AFEB30" w14:textId="77777777" w:rsidTr="001B580E">
        <w:trPr>
          <w:gridAfter w:val="1"/>
          <w:wAfter w:w="8" w:type="dxa"/>
        </w:trPr>
        <w:tc>
          <w:tcPr>
            <w:tcW w:w="914" w:type="dxa"/>
            <w:vAlign w:val="center"/>
          </w:tcPr>
          <w:p w14:paraId="75B8AA0F"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4860EC86"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95E99E2"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UBND TP Hải Phòng (văn bản số 895/UBND-XDCT ngày 12/5/2026)</w:t>
            </w:r>
          </w:p>
        </w:tc>
        <w:tc>
          <w:tcPr>
            <w:tcW w:w="8872" w:type="dxa"/>
            <w:vAlign w:val="center"/>
          </w:tcPr>
          <w:p w14:paraId="4D425EB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xuất lựa chọn phương án 1 để quy định về cảng, bến thủy nội địa do việc xác định, phân biệt giữa cảng, bến thủy nội địa cần phải được xác định dựa trên các tiêu chí về quy mô cầu tàu, công nghệ xếp dỡ, quy mô vùng đất, vùng nước của cảng, bến để đảm bảo khả năng tiếp nhận tàu biển mà không nên chỉ dựa vào số lượng cầu bến để phân biệt giữa cảng và bến thủy nội địa. Thực tế hiện nay tại thành phố Hải Phòng, có nhiều cảng thủy nội địa chỉ có 01 cầu tàu nhưng quy mô có quy mô cầu tàu lớn, có công nghệ bốc xếp hiện đại, đủ khả năng tiếp nhận, xếp dỡ hàng hóa đối với tàu biển.</w:t>
            </w:r>
          </w:p>
        </w:tc>
        <w:tc>
          <w:tcPr>
            <w:tcW w:w="2793" w:type="dxa"/>
            <w:vAlign w:val="center"/>
          </w:tcPr>
          <w:p w14:paraId="0637CC94" w14:textId="6F8040A0"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72723E13" w14:textId="77777777" w:rsidTr="001B580E">
        <w:trPr>
          <w:gridAfter w:val="1"/>
          <w:wAfter w:w="8" w:type="dxa"/>
        </w:trPr>
        <w:tc>
          <w:tcPr>
            <w:tcW w:w="914" w:type="dxa"/>
            <w:vAlign w:val="center"/>
          </w:tcPr>
          <w:p w14:paraId="68DE445C"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31F178E8"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7B81CF2"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Trường ĐHGTVT TP HCM (văn bản số 260511-02/CV-UTH-MLP ngày 11/5/2026)</w:t>
            </w:r>
          </w:p>
        </w:tc>
        <w:tc>
          <w:tcPr>
            <w:tcW w:w="8872" w:type="dxa"/>
            <w:vAlign w:val="center"/>
          </w:tcPr>
          <w:p w14:paraId="0D3B406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Cần lựa chọn Phương án 2 đối với các quy định về cảng, bến thủy nội địa tại Điều 24, Điều 25, Điều 26, Điều 27 và Điều 28 của Dự thảo. Bởi Phương án 2 tiếp cận theo mô hình quản lý kết cấu hạ tầng và chức năng khai thác cảng tương đồng với quy định đối với cảng biển trong Bộ luật, bảo đảm tính thống nhất trong kỹ thuật lập pháp và thuận lợi cho quản lý hệ thống logistics tích hợp giữa cảng biển, cảng thủy nội địa, ICD và vận tải đa phương thức. So với Phương án 1, Phương án 2 có nhiều ưu điểm hơn, cụ thể: Không xác định cảng thủy nội địa chủ yếu dựa trên tiêu chí số lượng cầu cảng, qua đó tránh tình trạng cứng hóa tiêu chí pháp lý đối với mô hình cảng, bến; Phù hợp thực tiễn khai thác hiện nay khi nhiều cảng thủy nội địa có quy mô linh hoạt, phát triển theo nhu cầu logistics và chuỗi cung ứng; Tạo điều kiện thuận lợi cho việc hình thành mô hình cảng tích hợp, cảng logistics và trung tâm trung chuyển hàng hóa kết nối với cảng biển; Bảo đảm khả năng kết nối vận tải đa phương thức giữa đường thủy nội địa với đường biển, đường bộ, đường sắt và cảng cạn (ICD); Phủ </w:t>
            </w:r>
            <w:r w:rsidRPr="000F1EC3">
              <w:rPr>
                <w:rFonts w:ascii="Times New Roman" w:hAnsi="Times New Roman"/>
                <w:sz w:val="24"/>
              </w:rPr>
              <w:lastRenderedPageBreak/>
              <w:t>hợp xu hướng quản lý hiện đại theo chức năng khai thác, công nghệ vận hành và hiệu quả logistics thay vì chỉ dựa vào quy mô công trình; Thuận lợi cho việc xã hội hóa đầu tư, thu hút doanh nghiệp đầu tư phát triển cảng thủy nội địa theo hướng xanh, thông minh và hiện đại. Trong khi đó, Phương án 1 quy định cảng thủy nội địa phải có từ 02 cầu cảng trở lên là tiêu chí mang tính cơ học, chưa phản ánh đầy đủ bản chất khai thác cảng và có thể dẫn đến hạn chế tính linh hoạt trong đầu tư, tổ chức khai thác và quản lý hoạt động cảng thủy nội địa trên thực tế."</w:t>
            </w:r>
          </w:p>
        </w:tc>
        <w:tc>
          <w:tcPr>
            <w:tcW w:w="2793" w:type="dxa"/>
            <w:vAlign w:val="center"/>
          </w:tcPr>
          <w:p w14:paraId="3521F2F4" w14:textId="263C213A"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6AEF8150" w14:textId="77777777" w:rsidTr="001B580E">
        <w:trPr>
          <w:gridAfter w:val="1"/>
          <w:wAfter w:w="8" w:type="dxa"/>
        </w:trPr>
        <w:tc>
          <w:tcPr>
            <w:tcW w:w="914" w:type="dxa"/>
            <w:vAlign w:val="center"/>
          </w:tcPr>
          <w:p w14:paraId="23C44B07"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3C7F0337"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6FAB2D3E"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Quảng Ngãi (văn bản số 3329/SXD-ATGT ngày 12/5/2026)</w:t>
            </w:r>
          </w:p>
        </w:tc>
        <w:tc>
          <w:tcPr>
            <w:tcW w:w="8872" w:type="dxa"/>
            <w:vAlign w:val="center"/>
          </w:tcPr>
          <w:p w14:paraId="14F3A2AE"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Phương án 2, vì nội dung phù hợp với việc xác định khái niệm cảng, bến thủy nội địa; ngoài ra, còn bổ sung rõ nguyên tắc áp dụng đối với cảng, bến quân sự, công an, cảng cá nằm trong vùng nước thủy nội địa và quy định cảng, bến thủy nội địa trước khi đưa vào khai thác phải được công bố hoạt động.</w:t>
            </w:r>
          </w:p>
        </w:tc>
        <w:tc>
          <w:tcPr>
            <w:tcW w:w="2793" w:type="dxa"/>
          </w:tcPr>
          <w:p w14:paraId="61B4AA20" w14:textId="5D3F0364"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3AE98DAD" w14:textId="77777777" w:rsidTr="001B580E">
        <w:trPr>
          <w:gridAfter w:val="1"/>
          <w:wAfter w:w="8" w:type="dxa"/>
        </w:trPr>
        <w:tc>
          <w:tcPr>
            <w:tcW w:w="914" w:type="dxa"/>
            <w:vAlign w:val="center"/>
          </w:tcPr>
          <w:p w14:paraId="0140C54A"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2CDD58AA"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429F2EC0"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Đoàn ĐHQH Lào Cai (văn bản số 24-BC/DBQH ngày 11/5/2026)</w:t>
            </w:r>
          </w:p>
        </w:tc>
        <w:tc>
          <w:tcPr>
            <w:tcW w:w="8872" w:type="dxa"/>
            <w:vAlign w:val="center"/>
          </w:tcPr>
          <w:p w14:paraId="6FD15B8B"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PA 2. Lý do: Theo phương án 1 quy định cảng thủy nội địa phải có quy mô từ 02 cầu cảng trở lên là chưa phù hợp với quy mô đầu tư từng bước ở các tỉnh miền núi. Tại các địa phương miền núi, biên giới như tỉnh Lào Cai, nhu cầu thực tế thường phát sinh từ một điểm xếp dỡ, gom hàng, đón trả khách hoặc điểm trung chuyển nhỏ gắn với sông Hồng, hồ thủy điện, khu vực gần cửa khẩu và khu sản xuất; nếu buộc ngay từ đầu phải có từ 02 cầu cảng trở lên thì phần lớn công trình sẽ chỉ được coi là bến, với quy định như vậy sẽ làm giảm động lực nâng cấp lên mô hình cảng và giảm khả năng tích hợp logistics. Còn đối với phương án 2 quy định “Cảng thủy nội địa có một hoặc nhiều bến thủy nội địa. Bến thủy nội địa có một hoặc nhiều cầu cảng”, với việc định nghĩa dựa trên công năng và không khống chế số lượng cầu cảng tối thiểu sẽ giúp các bến bãi hiện có tại địa phương thuận lợi hơn trong việc chuẩn hóa và quản lý thống nhất dưới danh nghĩa "Cảng thủy nội địa" hoặc "Bến thủy nội địa", tạo điều kiện thuận lợi cho việc cấp phép và kêu gọi đầu tư hạ tầng logistics biên giới.</w:t>
            </w:r>
          </w:p>
        </w:tc>
        <w:tc>
          <w:tcPr>
            <w:tcW w:w="2793" w:type="dxa"/>
          </w:tcPr>
          <w:p w14:paraId="4DB1D948" w14:textId="5571FAC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61C933C7" w14:textId="77777777" w:rsidTr="001B580E">
        <w:trPr>
          <w:gridAfter w:val="1"/>
          <w:wAfter w:w="8" w:type="dxa"/>
        </w:trPr>
        <w:tc>
          <w:tcPr>
            <w:tcW w:w="914" w:type="dxa"/>
            <w:vAlign w:val="center"/>
          </w:tcPr>
          <w:p w14:paraId="2CECFC9E"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AA3F9EA"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FB7488C"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 xml:space="preserve">Sở Xây dựng Hưng Yên (văn bản số </w:t>
            </w:r>
            <w:r w:rsidRPr="000F1EC3">
              <w:rPr>
                <w:rFonts w:ascii="Times New Roman" w:hAnsi="Times New Roman"/>
                <w:b/>
                <w:bCs/>
                <w:sz w:val="24"/>
              </w:rPr>
              <w:lastRenderedPageBreak/>
              <w:t>2188/SXD-QLKCHT ngày 12/5/2026)</w:t>
            </w:r>
          </w:p>
        </w:tc>
        <w:tc>
          <w:tcPr>
            <w:tcW w:w="8872" w:type="dxa"/>
            <w:vAlign w:val="center"/>
          </w:tcPr>
          <w:p w14:paraId="5566E1B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Chọn phương án 1 (không nêu lý do)</w:t>
            </w:r>
          </w:p>
        </w:tc>
        <w:tc>
          <w:tcPr>
            <w:tcW w:w="2793" w:type="dxa"/>
            <w:vAlign w:val="center"/>
          </w:tcPr>
          <w:p w14:paraId="66EE5F41" w14:textId="10AF84C2"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w:t>
            </w:r>
            <w:r w:rsidRPr="000F1EC3">
              <w:rPr>
                <w:rFonts w:ascii="Times New Roman" w:hAnsi="Times New Roman"/>
                <w:sz w:val="24"/>
              </w:rPr>
              <w:lastRenderedPageBreak/>
              <w:t>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32ECBFEF" w14:textId="77777777" w:rsidTr="001B580E">
        <w:trPr>
          <w:gridAfter w:val="1"/>
          <w:wAfter w:w="8" w:type="dxa"/>
        </w:trPr>
        <w:tc>
          <w:tcPr>
            <w:tcW w:w="914" w:type="dxa"/>
            <w:vAlign w:val="center"/>
          </w:tcPr>
          <w:p w14:paraId="53D0925B"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038B86E7"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1AC2F73B"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44934576"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(Văn bản số 3107/BQP-PC ngày 11/5/2026)</w:t>
            </w:r>
          </w:p>
        </w:tc>
        <w:tc>
          <w:tcPr>
            <w:tcW w:w="8872" w:type="dxa"/>
            <w:vAlign w:val="center"/>
          </w:tcPr>
          <w:p w14:paraId="60DC8E1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chọn Phương án 2, lý do: phù hợp với thực tiễn khai thác và mô hình quản lý hiện nay, tạo điều kiện thuận lợi cho đầu tư phát triển hệ thống cảng thủy nội địa</w:t>
            </w:r>
          </w:p>
        </w:tc>
        <w:tc>
          <w:tcPr>
            <w:tcW w:w="2793" w:type="dxa"/>
          </w:tcPr>
          <w:p w14:paraId="0843FA7A" w14:textId="3DB9DC0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1DD1C4F" w14:textId="77777777" w:rsidTr="001B580E">
        <w:trPr>
          <w:gridAfter w:val="1"/>
          <w:wAfter w:w="8" w:type="dxa"/>
        </w:trPr>
        <w:tc>
          <w:tcPr>
            <w:tcW w:w="914" w:type="dxa"/>
            <w:vAlign w:val="center"/>
          </w:tcPr>
          <w:p w14:paraId="3F8C14B5" w14:textId="77777777" w:rsidR="0081493C" w:rsidRPr="00845D33" w:rsidRDefault="0081493C" w:rsidP="00845D33">
            <w:pPr>
              <w:pStyle w:val="ListParagraph"/>
              <w:numPr>
                <w:ilvl w:val="0"/>
                <w:numId w:val="19"/>
              </w:numPr>
              <w:spacing w:before="20" w:after="20"/>
              <w:rPr>
                <w:rFonts w:ascii="Times New Roman" w:hAnsi="Times New Roman"/>
                <w:b/>
                <w:bCs/>
                <w:sz w:val="24"/>
              </w:rPr>
            </w:pPr>
          </w:p>
        </w:tc>
        <w:tc>
          <w:tcPr>
            <w:tcW w:w="992" w:type="dxa"/>
            <w:vAlign w:val="center"/>
          </w:tcPr>
          <w:p w14:paraId="7C033845"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Điều 25</w:t>
            </w:r>
          </w:p>
        </w:tc>
        <w:tc>
          <w:tcPr>
            <w:tcW w:w="1620" w:type="dxa"/>
            <w:vAlign w:val="center"/>
          </w:tcPr>
          <w:p w14:paraId="2292AB13"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Lai Châu</w:t>
            </w:r>
          </w:p>
          <w:p w14:paraId="6FB9C30E"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(Văn bản số 2228/SXD-</w:t>
            </w:r>
          </w:p>
        </w:tc>
        <w:tc>
          <w:tcPr>
            <w:tcW w:w="8872" w:type="dxa"/>
            <w:vAlign w:val="center"/>
          </w:tcPr>
          <w:p w14:paraId="447CD10B" w14:textId="7777777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Kiến nghị lựa chọn phương án 1, phương án này xác định rõ các thành phần cấu thành (vùng đất, vùng nước) cũng như các hạng mục công trình bắt buộc. Đặc biệt, có các tiêu chí định lượng cụ thể sẽ tạo hành lang pháp lý minh bạch, giúp cơ quan quản lý tại địa phương thuận lợi hơn trong công tác thẩm định thiết kế, cấp phép xây dựng và quản lý hành lang bảo vệ luồng</w:t>
            </w:r>
          </w:p>
        </w:tc>
        <w:tc>
          <w:tcPr>
            <w:tcW w:w="2793" w:type="dxa"/>
          </w:tcPr>
          <w:p w14:paraId="036C6EA3" w14:textId="1E3BEA1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5884327C" w14:textId="77777777" w:rsidTr="001B580E">
        <w:trPr>
          <w:gridAfter w:val="1"/>
          <w:wAfter w:w="8" w:type="dxa"/>
        </w:trPr>
        <w:tc>
          <w:tcPr>
            <w:tcW w:w="914" w:type="dxa"/>
            <w:vAlign w:val="center"/>
          </w:tcPr>
          <w:p w14:paraId="4A93EC46"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27DC10B9"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07A542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w:t>
            </w:r>
            <w:r w:rsidRPr="000F1EC3">
              <w:rPr>
                <w:rFonts w:ascii="Times New Roman" w:hAnsi="Times New Roman"/>
                <w:b/>
                <w:bCs/>
                <w:sz w:val="24"/>
              </w:rPr>
              <w:lastRenderedPageBreak/>
              <w:t>T-PC ngày 13/5/2026)</w:t>
            </w:r>
          </w:p>
        </w:tc>
        <w:tc>
          <w:tcPr>
            <w:tcW w:w="8872" w:type="dxa"/>
            <w:vAlign w:val="center"/>
          </w:tcPr>
          <w:p w14:paraId="2FFA8EC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pacing w:val="-2"/>
                <w:sz w:val="24"/>
              </w:rPr>
              <w:lastRenderedPageBreak/>
              <w:t xml:space="preserve">Bộ Nông nghiệp và Môi trường lựa chọn phương án 1 tại các Điều 24, 25, 26, 27, 28 được xây dựng có nội dung phù hợp và được đánh giá sâu hơn phương án 2. </w:t>
            </w:r>
          </w:p>
        </w:tc>
        <w:tc>
          <w:tcPr>
            <w:tcW w:w="2793" w:type="dxa"/>
            <w:vAlign w:val="center"/>
          </w:tcPr>
          <w:p w14:paraId="3A43DD0E" w14:textId="7B90487F"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w:t>
            </w:r>
            <w:r w:rsidRPr="000F1EC3">
              <w:rPr>
                <w:rFonts w:ascii="Times New Roman" w:hAnsi="Times New Roman"/>
                <w:sz w:val="24"/>
              </w:rPr>
              <w:lastRenderedPageBreak/>
              <w:t>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2B57DEEE" w14:textId="77777777" w:rsidTr="001B580E">
        <w:trPr>
          <w:gridAfter w:val="1"/>
          <w:wAfter w:w="8" w:type="dxa"/>
        </w:trPr>
        <w:tc>
          <w:tcPr>
            <w:tcW w:w="914" w:type="dxa"/>
            <w:vAlign w:val="center"/>
          </w:tcPr>
          <w:p w14:paraId="62919510"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61074BC"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405B15AE"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015B95B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Cs/>
                <w:spacing w:val="-2"/>
                <w:sz w:val="24"/>
              </w:rPr>
              <w:t>Quy định tại Điều 25 (Tiêu chí xác định cảng, bến thủy nội địa), Điều 33 (Tiêu chí xác định cảng cạn), Điều 36 (Đầu tư kết cấu hạ tầng hàng hải và đường thủy nội địa, cảng cạn), đề</w:t>
            </w:r>
            <w:r w:rsidRPr="000F1EC3">
              <w:rPr>
                <w:rFonts w:ascii="Times New Roman" w:hAnsi="Times New Roman"/>
                <w:spacing w:val="-2"/>
                <w:sz w:val="24"/>
              </w:rPr>
              <w:t xml:space="preserve"> nghị rà soát, chỉnh sửa, bổ sung các tiêu chí </w:t>
            </w:r>
            <w:r w:rsidRPr="000F1EC3">
              <w:rPr>
                <w:rFonts w:ascii="Times New Roman" w:hAnsi="Times New Roman"/>
                <w:i/>
                <w:spacing w:val="-2"/>
                <w:sz w:val="24"/>
              </w:rPr>
              <w:t>“phù hợp với quy hoạch đê điều và phòng, chống lũ của tuyến sông có đê”</w:t>
            </w:r>
            <w:r w:rsidRPr="000F1EC3">
              <w:rPr>
                <w:rFonts w:ascii="Times New Roman" w:hAnsi="Times New Roman"/>
                <w:spacing w:val="-2"/>
                <w:sz w:val="24"/>
              </w:rPr>
              <w:t xml:space="preserve">, </w:t>
            </w:r>
            <w:r w:rsidRPr="000F1EC3">
              <w:rPr>
                <w:rFonts w:ascii="Times New Roman" w:hAnsi="Times New Roman"/>
                <w:i/>
                <w:spacing w:val="-2"/>
                <w:sz w:val="24"/>
              </w:rPr>
              <w:t>“không  ảnh hưởng đến an toàn đê điều, không làm giảm khả năng thoát lũ của sông và không làm gia tăng rủi ro thiên tai cho khu vực và lân cận”</w:t>
            </w:r>
            <w:r w:rsidRPr="000F1EC3">
              <w:rPr>
                <w:rFonts w:ascii="Times New Roman" w:hAnsi="Times New Roman"/>
                <w:spacing w:val="-2"/>
                <w:sz w:val="24"/>
              </w:rPr>
              <w:t>.</w:t>
            </w:r>
          </w:p>
        </w:tc>
        <w:tc>
          <w:tcPr>
            <w:tcW w:w="2793" w:type="dxa"/>
            <w:vAlign w:val="center"/>
          </w:tcPr>
          <w:p w14:paraId="318A8D34" w14:textId="66F58924" w:rsidR="005E54B6" w:rsidRPr="000F1EC3" w:rsidRDefault="0081493C" w:rsidP="0081493C">
            <w:pPr>
              <w:spacing w:before="20" w:after="20"/>
              <w:jc w:val="both"/>
              <w:rPr>
                <w:rFonts w:ascii="Times New Roman" w:hAnsi="Times New Roman"/>
                <w:sz w:val="24"/>
              </w:rPr>
            </w:pPr>
            <w:r w:rsidRPr="000F1EC3">
              <w:rPr>
                <w:rFonts w:ascii="Times New Roman" w:hAnsi="Times New Roman"/>
                <w:sz w:val="24"/>
              </w:rPr>
              <w:t>Các nội dung này đã được rà soát, đảm bảo phù hợp với các loại quy hoạch tại Điều 14 dự thảo, các nội dung quy định chi tiết được giao Chính phủ quy định.</w:t>
            </w:r>
          </w:p>
        </w:tc>
      </w:tr>
      <w:tr w:rsidR="005E54B6" w:rsidRPr="000F1EC3" w14:paraId="3B80DDB2" w14:textId="77777777" w:rsidTr="001B580E">
        <w:trPr>
          <w:gridAfter w:val="1"/>
          <w:wAfter w:w="8" w:type="dxa"/>
        </w:trPr>
        <w:tc>
          <w:tcPr>
            <w:tcW w:w="914" w:type="dxa"/>
            <w:vAlign w:val="center"/>
          </w:tcPr>
          <w:p w14:paraId="574E84FC"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A508CD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7F36FC86"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7B828F5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Thống nhất chọn phương án 1, tuy nhiên, tại Khoản 2, đề nghị Ban soạn thảo nghiên cứu bổ sung thêm cụm từ “hành khách”, sau cụm từ “hàng hóa” cho đầy đủ vì cảng, bến thủy nội địa không chỉ vận chuyển hàng hóa mà còn vận chuyển cả hành khách, cụ thể Điều 25 quy định hoàn thiện như sau:</w:t>
            </w:r>
          </w:p>
          <w:p w14:paraId="5AC22E1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“1. Có điều kiện địa lý tự nhiên đáp ứng yêu cầu xây dựng cảng, bến thuỷ nội địa và luồng đường thuỷ nội địa cho tàu, thuyền, phương tiện thuỷ nội địa đến, rời, hoạt động an toàn. </w:t>
            </w:r>
          </w:p>
          <w:p w14:paraId="666FCDD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2. Có lợi thế về giao thông đường thuỷ nội địa. </w:t>
            </w:r>
          </w:p>
          <w:p w14:paraId="6A38EA5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3. Là đầu mối giao thông đường thuỷ nội địa phục vụ cho việc vận chuyển hàng hóa, hành khách trong địa phương hoặc liên vùng”.</w:t>
            </w:r>
          </w:p>
        </w:tc>
        <w:tc>
          <w:tcPr>
            <w:tcW w:w="2793" w:type="dxa"/>
            <w:vAlign w:val="center"/>
          </w:tcPr>
          <w:p w14:paraId="248272F5" w14:textId="0B651C61"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32EB0B42" w14:textId="77777777" w:rsidTr="001B580E">
        <w:trPr>
          <w:gridAfter w:val="1"/>
          <w:wAfter w:w="8" w:type="dxa"/>
        </w:trPr>
        <w:tc>
          <w:tcPr>
            <w:tcW w:w="914" w:type="dxa"/>
            <w:vAlign w:val="center"/>
          </w:tcPr>
          <w:p w14:paraId="59C5D472"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15741101"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20BD02F2"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ĐBQH Điện Biên (văn bản số 75/DBQH-VP ngày 13/5/2026)</w:t>
            </w:r>
          </w:p>
        </w:tc>
        <w:tc>
          <w:tcPr>
            <w:tcW w:w="8872" w:type="dxa"/>
            <w:vAlign w:val="center"/>
          </w:tcPr>
          <w:p w14:paraId="0E26BE8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lựa chọn theo Phương án 1 vì các tiêu chí được quy định mang tính bao quát, thể hiện đầy đủ các điều kiện cần thiết để xác định cảng, bến thủy nội địa; bảo đảm phù hợp với vai trò là đầu mối giao thông đường thủy nội địa và định hướng phát triển kết cấu hạ tầng giao thông đường thủy. Đồng thời, các tiêu chí về điều kiện địa lý tự nhiên, lợi thế giao thông và tính kết nối vận tải sẽ tạo cơ sở thuận lợi cho công tác quy hoạch, quản lý, đầu tư xây dựng và khai thác cảng, bến thủy nội địa bảo đảm an toàn, hiệu quả, đáp ứng nhu cầu vận chuyển hàng hóa trong địa phương và liên vùng; tương tự như tiêu chí xác định cảng biển được quy định tại Điều 18 của dự thảo Bộ luật.</w:t>
            </w:r>
          </w:p>
        </w:tc>
        <w:tc>
          <w:tcPr>
            <w:tcW w:w="2793" w:type="dxa"/>
            <w:vAlign w:val="center"/>
          </w:tcPr>
          <w:p w14:paraId="7F67245D" w14:textId="40FE7288"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tc>
      </w:tr>
      <w:tr w:rsidR="005E54B6" w:rsidRPr="000F1EC3" w14:paraId="7F70C0A0" w14:textId="77777777" w:rsidTr="001B580E">
        <w:trPr>
          <w:gridAfter w:val="1"/>
          <w:wAfter w:w="8" w:type="dxa"/>
        </w:trPr>
        <w:tc>
          <w:tcPr>
            <w:tcW w:w="914" w:type="dxa"/>
            <w:vAlign w:val="center"/>
          </w:tcPr>
          <w:p w14:paraId="7E1BA609"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5BD96EB"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5535B5C"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79E4B5C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Định nghĩa, tiêu chí xác định, chức năng, phân loại, nguyên tắc đặt tên, đổi tên Cảng, bến thủy nội địa: </w:t>
            </w:r>
          </w:p>
          <w:p w14:paraId="561E9FE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Lựa chọn PA2 phù hợp hơn với định hướng vận tải thủy kết hợp logistics, cång/bến chuyên dùng gắn với khu công nghiệp và mô hình giao thoa biển - sông mà Tờ trình đã nêu là bất cập thực tiễn cần xử lý. </w:t>
            </w:r>
          </w:p>
          <w:p w14:paraId="6FEA6B6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Ví dụ tại Điều 27 - Phân loại cảng, bến thủy nội địa, tại PA1: “Bến thủy nội địa gồm bến tổng hợp, bến hàng hóa, bến hành khách, bến chuyên dùng và bến khách ngang sông, có khả năng tiếp nhận phương tiện dưới 500 tấn hoặc phương tiện có sức chở dưới 70 khách”. Tuy nhiên thực tế tại khu vực phía Bắc, có nhiều Bến thủy nội địa trong đó tại Công ty có Bến thủy nội địa Hóa chất bắc Mông Dương II có khả năng tiếp nhận phương tiện trên 5.000 tấn. Do vậy để phù hợp với thực tiễn, Công ty kiến nghị lựa chọn PA2 trong Dự thảo.</w:t>
            </w:r>
          </w:p>
        </w:tc>
        <w:tc>
          <w:tcPr>
            <w:tcW w:w="2793" w:type="dxa"/>
            <w:vAlign w:val="center"/>
          </w:tcPr>
          <w:p w14:paraId="0F27A850" w14:textId="7C7C9535"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0579ED25" w14:textId="77777777" w:rsidTr="001B580E">
        <w:trPr>
          <w:gridAfter w:val="1"/>
          <w:wAfter w:w="8" w:type="dxa"/>
        </w:trPr>
        <w:tc>
          <w:tcPr>
            <w:tcW w:w="914" w:type="dxa"/>
            <w:vAlign w:val="center"/>
          </w:tcPr>
          <w:p w14:paraId="239AC9D7"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043DFF92"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59823BE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Lào Cai (văn bản số 2441/SXD-VTPTNL ngày 8/5/2026)</w:t>
            </w:r>
          </w:p>
        </w:tc>
        <w:tc>
          <w:tcPr>
            <w:tcW w:w="8872" w:type="dxa"/>
            <w:vAlign w:val="center"/>
          </w:tcPr>
          <w:p w14:paraId="74422CF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lựa chọn PA2 nhằm phát triển hệ thống cảng, bến thủy nội địa theo xu hướng hình thành các tổ hợp cảng, logistics và kết nối đa phương thức; quản lý theo khu vực cảng bao gồm vùng đất và vùng nước, phù hợp với yêu cầu quy hoạch và phát triển hiện đại.</w:t>
            </w:r>
          </w:p>
        </w:tc>
        <w:tc>
          <w:tcPr>
            <w:tcW w:w="2793" w:type="dxa"/>
            <w:vAlign w:val="center"/>
          </w:tcPr>
          <w:p w14:paraId="29C4FF11" w14:textId="52750F3C"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60FDF02D" w14:textId="77777777" w:rsidTr="001B580E">
        <w:trPr>
          <w:gridAfter w:val="1"/>
          <w:wAfter w:w="8" w:type="dxa"/>
        </w:trPr>
        <w:tc>
          <w:tcPr>
            <w:tcW w:w="914" w:type="dxa"/>
            <w:vAlign w:val="center"/>
          </w:tcPr>
          <w:p w14:paraId="318B603C"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4AF7B5B0"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1C01FD40"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Đắc Lắc (văn bản số 121/ĐBQH-VP ngày 13/5/2026)</w:t>
            </w:r>
          </w:p>
        </w:tc>
        <w:tc>
          <w:tcPr>
            <w:tcW w:w="8872" w:type="dxa"/>
            <w:vAlign w:val="center"/>
          </w:tcPr>
          <w:p w14:paraId="135D51B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Thực tiễn quản lý cho thấy có sự giao thoa rất lớn giữa vùng nước cảng biển và đường thủy nội địa. Hàng hóa container trung chuyển từ cảng biển vào nội địa rất cần sự kết nối thông suốt, nhiều cảng thủy nội địa hiện nay (đặc biệt tại phía Nam) hoàn toàn đủ năng lực tiếp nhận tàu biển. Do đó, Đoàn ĐBQH tỉnh thống nhất lựa chọn Phương án 2 tại Điều 24 và Điều 25. Phương án này phản ánh đúng thực tiễn khai thác đa phương thức, giúp giải quyết triệt để tình trạng ách tắc pháp lý khi tàu biển tiến sâu vào các tuyến sông để làm hàng.</w:t>
            </w:r>
          </w:p>
        </w:tc>
        <w:tc>
          <w:tcPr>
            <w:tcW w:w="2793" w:type="dxa"/>
            <w:vAlign w:val="center"/>
          </w:tcPr>
          <w:p w14:paraId="7E140482" w14:textId="6FD649BC"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tc>
      </w:tr>
      <w:tr w:rsidR="0081493C" w:rsidRPr="000F1EC3" w14:paraId="1A848E71" w14:textId="77777777" w:rsidTr="001B580E">
        <w:trPr>
          <w:gridAfter w:val="1"/>
          <w:wAfter w:w="8" w:type="dxa"/>
        </w:trPr>
        <w:tc>
          <w:tcPr>
            <w:tcW w:w="914" w:type="dxa"/>
            <w:vAlign w:val="center"/>
          </w:tcPr>
          <w:p w14:paraId="08F3DF6B"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0ECEC306"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2D1C64AB"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Khánh Hòa (văn bản số 4773/SXD-QLVT ngày 11/5/2026)</w:t>
            </w:r>
          </w:p>
        </w:tc>
        <w:tc>
          <w:tcPr>
            <w:tcW w:w="8872" w:type="dxa"/>
            <w:vAlign w:val="center"/>
          </w:tcPr>
          <w:p w14:paraId="354EC365"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để đồng nhất với “tiêu chí xác định cảng biển” được quy định tại Điều 18, đề xuất chọn PA 1</w:t>
            </w:r>
          </w:p>
        </w:tc>
        <w:tc>
          <w:tcPr>
            <w:tcW w:w="2793" w:type="dxa"/>
          </w:tcPr>
          <w:p w14:paraId="29AADA47" w14:textId="6B7E5492"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5A03B488" w14:textId="77777777" w:rsidTr="001B580E">
        <w:trPr>
          <w:gridAfter w:val="1"/>
          <w:wAfter w:w="8" w:type="dxa"/>
        </w:trPr>
        <w:tc>
          <w:tcPr>
            <w:tcW w:w="914" w:type="dxa"/>
            <w:vAlign w:val="center"/>
          </w:tcPr>
          <w:p w14:paraId="6A5944D0"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7DB1CF80"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29726FF1"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Vĩnh Long (văn bản số 3079/SXD-VTAT ngày 11/5/2026)</w:t>
            </w:r>
          </w:p>
        </w:tc>
        <w:tc>
          <w:tcPr>
            <w:tcW w:w="8872" w:type="dxa"/>
            <w:vAlign w:val="center"/>
          </w:tcPr>
          <w:p w14:paraId="263D2F91"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1 (không nêu lý do)</w:t>
            </w:r>
          </w:p>
        </w:tc>
        <w:tc>
          <w:tcPr>
            <w:tcW w:w="2793" w:type="dxa"/>
          </w:tcPr>
          <w:p w14:paraId="14569E4D" w14:textId="687F58F3"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83871A4" w14:textId="77777777" w:rsidTr="001B580E">
        <w:trPr>
          <w:gridAfter w:val="1"/>
          <w:wAfter w:w="8" w:type="dxa"/>
        </w:trPr>
        <w:tc>
          <w:tcPr>
            <w:tcW w:w="914" w:type="dxa"/>
            <w:vAlign w:val="center"/>
          </w:tcPr>
          <w:p w14:paraId="5B31A6F6"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1ADF183E"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BB1B313"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Thanh Hóa (văn bản số 69/BC-ĐBQH ngày 8/5/2026)</w:t>
            </w:r>
          </w:p>
        </w:tc>
        <w:tc>
          <w:tcPr>
            <w:tcW w:w="8872" w:type="dxa"/>
            <w:vAlign w:val="center"/>
          </w:tcPr>
          <w:p w14:paraId="6B2FD4B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lựa chọn phương án 2 vì phương án này xác định cảng, bến thủy nội địa theo chức năng khai thác, vận tải và khả năng tiếp nhận phương tiện, phù hợp thực tiễn quản lý, khai thác hạ tầng vận tải thủy nội địa hiện nay; đồng thời bảo đảm tính đồng bộ với quy định về cảng, bến thủy nội địa tại Điều 24 của dự thảo Bộ luật. Các tiêu chí về điều kiện địa lý tự nhiên, lợi thế giao thông như phương án 1 phù hợp hơn với hoạt động quy hoạch phát triển kết cấu hạ tầng giao thông thủy nội địa, chưa thật sự phản ánh đầy đủ bản chất pháp lý và chức năng khai thác của cảng, bến thủy nội địa</w:t>
            </w:r>
          </w:p>
        </w:tc>
        <w:tc>
          <w:tcPr>
            <w:tcW w:w="2793" w:type="dxa"/>
          </w:tcPr>
          <w:p w14:paraId="25005137" w14:textId="7884627A"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tc>
      </w:tr>
      <w:tr w:rsidR="0081493C" w:rsidRPr="000F1EC3" w14:paraId="3B5A052B" w14:textId="77777777" w:rsidTr="001B580E">
        <w:trPr>
          <w:gridAfter w:val="1"/>
          <w:wAfter w:w="8" w:type="dxa"/>
        </w:trPr>
        <w:tc>
          <w:tcPr>
            <w:tcW w:w="914" w:type="dxa"/>
            <w:vAlign w:val="center"/>
          </w:tcPr>
          <w:p w14:paraId="486C5F11"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0087FBC0"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BD1AFCA"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Quảng Trị (văn bản số 74/DBQH-CTQH ngày 11/5/2026)</w:t>
            </w:r>
          </w:p>
        </w:tc>
        <w:tc>
          <w:tcPr>
            <w:tcW w:w="8872" w:type="dxa"/>
            <w:vAlign w:val="center"/>
          </w:tcPr>
          <w:p w14:paraId="3651DDAF"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Đoàn ĐBQH tỉnh Quảng Trị lựa chọn PA2. Đây là PA thể hiện tư duy quản trị hiện đại khi xóa bỏ ranh giới cứng nhắc về đối tượng phục vụ, cho phép cảng thủy nội địa tiếp nhận cả tàu biển. Quy định này là chìa khóa để giải quyết triệt để sự chồng chéo trong quản lý tại khu vực cửa sông, tối ưu hóa công suất khai thác hạ tầng và bảo đảm tính đồng bộ tuyệt đối với định nghĩa cảng tại Điều 4, phù hợp với xu thế phát triển vận tải đa phương thức.</w:t>
            </w:r>
          </w:p>
        </w:tc>
        <w:tc>
          <w:tcPr>
            <w:tcW w:w="2793" w:type="dxa"/>
          </w:tcPr>
          <w:p w14:paraId="7DB246FB" w14:textId="0DCE1AC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793F477" w14:textId="77777777" w:rsidTr="001B580E">
        <w:trPr>
          <w:gridAfter w:val="1"/>
          <w:wAfter w:w="8" w:type="dxa"/>
        </w:trPr>
        <w:tc>
          <w:tcPr>
            <w:tcW w:w="914" w:type="dxa"/>
            <w:vAlign w:val="center"/>
          </w:tcPr>
          <w:p w14:paraId="07851160"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16F83FAF"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4CAFCBB4"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UBND TP Hải Phòng (văn bản số 895/UBND-XDCT ngày 12/5/2026)</w:t>
            </w:r>
          </w:p>
        </w:tc>
        <w:tc>
          <w:tcPr>
            <w:tcW w:w="8872" w:type="dxa"/>
            <w:vAlign w:val="center"/>
          </w:tcPr>
          <w:p w14:paraId="0F269BE6"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 Đề xuất lựa chọn phương án 1 do việc lựa chọn vị trí có điều kiện tự nhiên phù hợp là yếu tố có ý nghĩa quan trọng trong xây dựng cảng, bến thủy nội địa. </w:t>
            </w:r>
          </w:p>
          <w:p w14:paraId="5737826C"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 Đề nghị bổ sung quy định khái niệm “đầu mối giao thông đường thủy nội địa” trong dự thảo Bộ Luật. </w:t>
            </w:r>
          </w:p>
          <w:p w14:paraId="07934819"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Đề nghị bổ sung quy định giao cho Chính phủ hoặc các cơ quan có thẩm quyền quy định cụ thể việc xác định “Điều kiện địa lý tự nhiên đáp ứng yêu cầu xây dựng cảng, bến thuỷ nội địa và luồng đường thuỷ nội địa cho tàu, thuyền, phương tiện thuỷ nội địa đến, rời, hoạt động an toàn” được quy định khoản 1 Điều này.</w:t>
            </w:r>
          </w:p>
        </w:tc>
        <w:tc>
          <w:tcPr>
            <w:tcW w:w="2793" w:type="dxa"/>
          </w:tcPr>
          <w:p w14:paraId="384198E9" w14:textId="36E709B5"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5F7189B8" w14:textId="77777777" w:rsidTr="001B580E">
        <w:trPr>
          <w:gridAfter w:val="1"/>
          <w:wAfter w:w="8" w:type="dxa"/>
        </w:trPr>
        <w:tc>
          <w:tcPr>
            <w:tcW w:w="914" w:type="dxa"/>
            <w:vAlign w:val="center"/>
          </w:tcPr>
          <w:p w14:paraId="1216608F" w14:textId="77777777" w:rsidR="005E54B6" w:rsidRPr="000F1EC3" w:rsidRDefault="005E54B6" w:rsidP="005E54B6">
            <w:pPr>
              <w:spacing w:before="20" w:after="20"/>
              <w:rPr>
                <w:rFonts w:ascii="Times New Roman" w:hAnsi="Times New Roman"/>
                <w:b/>
                <w:bCs/>
                <w:sz w:val="24"/>
              </w:rPr>
            </w:pPr>
          </w:p>
        </w:tc>
        <w:tc>
          <w:tcPr>
            <w:tcW w:w="992" w:type="dxa"/>
            <w:vAlign w:val="center"/>
          </w:tcPr>
          <w:p w14:paraId="7F8313EE"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2A0845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Trường ĐHGTVT TP HCM (văn bản số 260511-02/CV-UTH-MLP ngày 11/5/2026)</w:t>
            </w:r>
          </w:p>
        </w:tc>
        <w:tc>
          <w:tcPr>
            <w:tcW w:w="8872" w:type="dxa"/>
            <w:vAlign w:val="center"/>
          </w:tcPr>
          <w:p w14:paraId="43014F8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Cần lựa chọn Phương án 2 đối với các quy định về cảng, bến thủy nội địa tại Điều 24, Điều 25, Điều 26, Điều 27 và Điều 28 của Dự thảo. Bởi Phương án 2 tiếp cận theo mô hình quản lý kết cấu hạ tầng và chức năng khai thác cảng tương đồng với quy định đối với cảng biển trong Bộ luật, bảo đảm tính thống nhất trong kỹ thuật lập pháp và thuận lợi cho quản lý hệ thống logistics tích hợp giữa cảng biển, cảng thủy nội địa, ICD và vận tải đa phương thức. So với Phương án 1, Phương án 2 có nhiều ưu điểm hơn, cụ thể: Không xác định cảng thủy nội địa chủ yếu dựa trên tiêu chí số lượng cầu cảng, qua đó tránh tình trạng cứng hóa tiêu chí pháp lý đối với mô hình cảng, bến; Phù hợp thực tiễn khai thác hiện nay khi nhiều cảng thủy nội địa có quy mô linh hoạt, phát triển theo nhu cầu logistics và chuỗi cung ứng; Tạo điều kiện thuận lợi cho việc hình thành mô hình cảng tích hợp, cảng logistics và trung tâm </w:t>
            </w:r>
            <w:r w:rsidRPr="000F1EC3">
              <w:rPr>
                <w:rFonts w:ascii="Times New Roman" w:hAnsi="Times New Roman"/>
                <w:sz w:val="24"/>
              </w:rPr>
              <w:lastRenderedPageBreak/>
              <w:t>trung chuyển hàng hóa kết nối với cảng biển; Bảo đảm khả năng kết nối vận tải đa phương thức giữa đường thủy nội địa với đường biển, đường bộ, đường sắt và cảng cạn (ICD); Phủ hợp xu hướng quản lý hiện đại theo chức năng khai thác, công nghệ vận hành và hiệu quả logistics thay vì chỉ dựa vào quy mô công trình; Thuận lợi cho việc xã hội hóa đầu tư, thu hút doanh nghiệp đầu tư phát triển cảng thủy nội địa theo hướng xanh, thông minh và hiện đại. Trong khi đó, Phương án 1 quy định cảng thủy nội địa phải có từ 02 cầu cảng trở lên là tiêu chí mang tính cơ học, chưa phản ánh đầy đủ bản chất khai thác cảng và có thể dẫn đến hạn chế tính linh hoạt trong đầu tư, tổ chức khai thác và quản lý hoạt động cảng thủy nội địa trên thực tế."</w:t>
            </w:r>
          </w:p>
        </w:tc>
        <w:tc>
          <w:tcPr>
            <w:tcW w:w="2793" w:type="dxa"/>
            <w:vAlign w:val="center"/>
          </w:tcPr>
          <w:p w14:paraId="2454ACAF" w14:textId="586C396C"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tc>
      </w:tr>
      <w:tr w:rsidR="0081493C" w:rsidRPr="000F1EC3" w14:paraId="32591DDC" w14:textId="77777777" w:rsidTr="001B580E">
        <w:trPr>
          <w:gridAfter w:val="1"/>
          <w:wAfter w:w="8" w:type="dxa"/>
        </w:trPr>
        <w:tc>
          <w:tcPr>
            <w:tcW w:w="914" w:type="dxa"/>
            <w:vAlign w:val="center"/>
          </w:tcPr>
          <w:p w14:paraId="21BD3103"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720DF968"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1D260943"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Quảng Ngãi (văn bản số 3329/SXD-ATGT ngày 12/5/2026)</w:t>
            </w:r>
          </w:p>
        </w:tc>
        <w:tc>
          <w:tcPr>
            <w:tcW w:w="8872" w:type="dxa"/>
            <w:vAlign w:val="center"/>
          </w:tcPr>
          <w:p w14:paraId="573E1A31"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Phương án 1, vì nội dung này quy định tiêu chí xác định cảng, bến thủy nội địa theo hướng chặt chẽ hơn, không chỉ căn cứ vào chức năng khai thác mà còn gắn với điều kiện địa lý tự nhiên, yêu cầu bảo đảm luồng cho tàu thuyền, phương tiện đến, rời hoạt động an toàn và vai trò đầu mối giao thông đường thủy nội địa.</w:t>
            </w:r>
          </w:p>
        </w:tc>
        <w:tc>
          <w:tcPr>
            <w:tcW w:w="2793" w:type="dxa"/>
          </w:tcPr>
          <w:p w14:paraId="047FB540" w14:textId="5062510C"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94BF2CA" w14:textId="77777777" w:rsidTr="001B580E">
        <w:trPr>
          <w:gridAfter w:val="1"/>
          <w:wAfter w:w="8" w:type="dxa"/>
        </w:trPr>
        <w:tc>
          <w:tcPr>
            <w:tcW w:w="914" w:type="dxa"/>
            <w:vAlign w:val="center"/>
          </w:tcPr>
          <w:p w14:paraId="1FDB50F3"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3BBD2D74"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6385974D"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Hưng Yên (văn bản số 2188/SXD-QLKCHT ngày 12/5/2026)</w:t>
            </w:r>
          </w:p>
        </w:tc>
        <w:tc>
          <w:tcPr>
            <w:tcW w:w="8872" w:type="dxa"/>
            <w:vAlign w:val="center"/>
          </w:tcPr>
          <w:p w14:paraId="170A4ED9"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lựa chọn phương án 1 do việc lựa chọn vị trí có điều kiện tự nhiên phù hợp là yếu tố có ý nghĩa quan trọng trong xây dựng cảng, bến thủy nội địa;</w:t>
            </w:r>
          </w:p>
        </w:tc>
        <w:tc>
          <w:tcPr>
            <w:tcW w:w="2793" w:type="dxa"/>
          </w:tcPr>
          <w:p w14:paraId="017FA790" w14:textId="66CC1179"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36C1CC2B" w14:textId="77777777" w:rsidTr="001B580E">
        <w:trPr>
          <w:gridAfter w:val="1"/>
          <w:wAfter w:w="8" w:type="dxa"/>
        </w:trPr>
        <w:tc>
          <w:tcPr>
            <w:tcW w:w="914" w:type="dxa"/>
            <w:vAlign w:val="center"/>
          </w:tcPr>
          <w:p w14:paraId="11AE010F"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5B6B5AFA"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408E05B2"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 xml:space="preserve">Sở Xây dựng Hà Tĩnh (văn bản số </w:t>
            </w:r>
            <w:r w:rsidRPr="000F1EC3">
              <w:rPr>
                <w:rFonts w:ascii="Times New Roman" w:hAnsi="Times New Roman"/>
                <w:b/>
                <w:sz w:val="24"/>
              </w:rPr>
              <w:lastRenderedPageBreak/>
              <w:t>2546/SXD-QLVT ngày 11/5/2026)</w:t>
            </w:r>
          </w:p>
        </w:tc>
        <w:tc>
          <w:tcPr>
            <w:tcW w:w="8872" w:type="dxa"/>
            <w:vAlign w:val="center"/>
          </w:tcPr>
          <w:p w14:paraId="237D49CB"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Chọn phương án 1 (không nêu lý do)</w:t>
            </w:r>
          </w:p>
        </w:tc>
        <w:tc>
          <w:tcPr>
            <w:tcW w:w="2793" w:type="dxa"/>
          </w:tcPr>
          <w:p w14:paraId="1884B934" w14:textId="1D8E1B41"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w:t>
            </w:r>
            <w:r w:rsidRPr="000F1EC3">
              <w:rPr>
                <w:rFonts w:ascii="Times New Roman" w:hAnsi="Times New Roman"/>
                <w:sz w:val="24"/>
              </w:rPr>
              <w:lastRenderedPageBreak/>
              <w:t>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2245F8D" w14:textId="77777777" w:rsidTr="001B580E">
        <w:trPr>
          <w:gridAfter w:val="1"/>
          <w:wAfter w:w="8" w:type="dxa"/>
        </w:trPr>
        <w:tc>
          <w:tcPr>
            <w:tcW w:w="914" w:type="dxa"/>
            <w:vAlign w:val="center"/>
          </w:tcPr>
          <w:p w14:paraId="43C26403"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1383B17E"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3E3CDF8D"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Sở Xây dựng Gia Lai (văn bản số 3648/SXD-GT ngày 11/5/2026)</w:t>
            </w:r>
          </w:p>
        </w:tc>
        <w:tc>
          <w:tcPr>
            <w:tcW w:w="8872" w:type="dxa"/>
            <w:vAlign w:val="center"/>
          </w:tcPr>
          <w:p w14:paraId="4059079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PA 1 và đề nghị sửa đổi, bổ sung tại khoản 3 “Là đầu mối giao thông đường thuỷ nội địa phục vụ cho việc vận chuyển hàng hóa trong địa phương hoặc liên vùng.” thành “Là đầu mối giao thông đường thuỷ nội địa phục vụ cho việc vận chuyển hàng hóa, vận chuyển hành khách trong địa phương hoặc liên vùng.”</w:t>
            </w:r>
          </w:p>
        </w:tc>
        <w:tc>
          <w:tcPr>
            <w:tcW w:w="2793" w:type="dxa"/>
          </w:tcPr>
          <w:p w14:paraId="32848D10" w14:textId="6FB84555"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9F56DDB" w14:textId="77777777" w:rsidTr="001B580E">
        <w:trPr>
          <w:gridAfter w:val="1"/>
          <w:wAfter w:w="8" w:type="dxa"/>
        </w:trPr>
        <w:tc>
          <w:tcPr>
            <w:tcW w:w="914" w:type="dxa"/>
            <w:vAlign w:val="center"/>
          </w:tcPr>
          <w:p w14:paraId="764B96EB"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4CE9A6BD"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3AAE73C2"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Đoàn ĐHQH Lào Cai (văn bản số 24-BC/DBQH ngày 11/5/2026)</w:t>
            </w:r>
          </w:p>
        </w:tc>
        <w:tc>
          <w:tcPr>
            <w:tcW w:w="8872" w:type="dxa"/>
            <w:vAlign w:val="center"/>
          </w:tcPr>
          <w:p w14:paraId="519B9DCF"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PA 1. Lý do: Phương án 1 đã nhấn mạnh các tiêu chí về điều kiện địa lý tự nhiên và an toàn luồng tuyến. Với việc quy định như vậy thì các cơ quan nhà nước thuận lợi trong việc xác định các tiêu chí áp dụng thống nhất trong thẩm định các dự án.</w:t>
            </w:r>
          </w:p>
        </w:tc>
        <w:tc>
          <w:tcPr>
            <w:tcW w:w="2793" w:type="dxa"/>
          </w:tcPr>
          <w:p w14:paraId="5A020136" w14:textId="11599858"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06DBECA" w14:textId="77777777" w:rsidTr="001B580E">
        <w:trPr>
          <w:gridAfter w:val="1"/>
          <w:wAfter w:w="8" w:type="dxa"/>
        </w:trPr>
        <w:tc>
          <w:tcPr>
            <w:tcW w:w="914" w:type="dxa"/>
            <w:vAlign w:val="center"/>
          </w:tcPr>
          <w:p w14:paraId="778419FC" w14:textId="77777777" w:rsidR="0081493C" w:rsidRPr="000F1EC3" w:rsidRDefault="0081493C" w:rsidP="0081493C">
            <w:pPr>
              <w:spacing w:before="20" w:after="20"/>
              <w:rPr>
                <w:rFonts w:ascii="Times New Roman" w:hAnsi="Times New Roman"/>
                <w:b/>
                <w:bCs/>
                <w:sz w:val="24"/>
              </w:rPr>
            </w:pPr>
          </w:p>
        </w:tc>
        <w:tc>
          <w:tcPr>
            <w:tcW w:w="992" w:type="dxa"/>
            <w:vAlign w:val="center"/>
          </w:tcPr>
          <w:p w14:paraId="21E5D7ED"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099970D9"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5E8AEED3"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(Văn bản số 3107/BQP-</w:t>
            </w:r>
            <w:r w:rsidRPr="000F1EC3">
              <w:rPr>
                <w:rFonts w:ascii="Times New Roman" w:hAnsi="Times New Roman"/>
                <w:b/>
                <w:sz w:val="24"/>
              </w:rPr>
              <w:lastRenderedPageBreak/>
              <w:t>PC ngày 11/5/2026)</w:t>
            </w:r>
          </w:p>
        </w:tc>
        <w:tc>
          <w:tcPr>
            <w:tcW w:w="8872" w:type="dxa"/>
            <w:vAlign w:val="center"/>
          </w:tcPr>
          <w:p w14:paraId="12F9051F"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Đề nghị chọn Phương án 2, lý do: nội dung của Phương án 1 bao gồm một số nội dung đã được quy định tại Điều 18 dự thảo Bộ luật. Ngoài ra, nội dung Phương án bao quát cả chức năng vận chuyển hàng hóa, hành khách và ghi nhận việc tiếp nhận cả phương tiện thủy nội địa và tàu biển</w:t>
            </w:r>
          </w:p>
        </w:tc>
        <w:tc>
          <w:tcPr>
            <w:tcW w:w="2793" w:type="dxa"/>
          </w:tcPr>
          <w:p w14:paraId="76464263" w14:textId="35361C1F"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w:t>
            </w:r>
            <w:r w:rsidRPr="000F1EC3">
              <w:rPr>
                <w:rFonts w:ascii="Times New Roman" w:hAnsi="Times New Roman"/>
                <w:sz w:val="24"/>
              </w:rPr>
              <w:lastRenderedPageBreak/>
              <w:t>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1F32B5F" w14:textId="77777777" w:rsidTr="001B580E">
        <w:trPr>
          <w:gridAfter w:val="1"/>
          <w:wAfter w:w="8" w:type="dxa"/>
        </w:trPr>
        <w:tc>
          <w:tcPr>
            <w:tcW w:w="914" w:type="dxa"/>
            <w:vAlign w:val="center"/>
          </w:tcPr>
          <w:p w14:paraId="0D3CF160" w14:textId="77777777" w:rsidR="0081493C" w:rsidRPr="00845D33" w:rsidRDefault="0081493C" w:rsidP="00845D33">
            <w:pPr>
              <w:pStyle w:val="ListParagraph"/>
              <w:numPr>
                <w:ilvl w:val="0"/>
                <w:numId w:val="19"/>
              </w:numPr>
              <w:spacing w:before="20" w:after="20"/>
              <w:jc w:val="center"/>
              <w:rPr>
                <w:rFonts w:ascii="Times New Roman" w:hAnsi="Times New Roman"/>
                <w:b/>
                <w:bCs/>
                <w:sz w:val="24"/>
              </w:rPr>
            </w:pPr>
          </w:p>
        </w:tc>
        <w:tc>
          <w:tcPr>
            <w:tcW w:w="992" w:type="dxa"/>
            <w:vAlign w:val="center"/>
          </w:tcPr>
          <w:p w14:paraId="7604A6DF"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Điều 26</w:t>
            </w:r>
          </w:p>
        </w:tc>
        <w:tc>
          <w:tcPr>
            <w:tcW w:w="1620" w:type="dxa"/>
            <w:vAlign w:val="center"/>
          </w:tcPr>
          <w:p w14:paraId="2B82AACB"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Lai Châu</w:t>
            </w:r>
          </w:p>
          <w:p w14:paraId="4EDEEDA9"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(Văn bản số 2228/SXD-</w:t>
            </w:r>
          </w:p>
        </w:tc>
        <w:tc>
          <w:tcPr>
            <w:tcW w:w="8872" w:type="dxa"/>
            <w:vAlign w:val="center"/>
          </w:tcPr>
          <w:p w14:paraId="595043E9" w14:textId="7777777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Kiến nghị lựa chọn phương án 1, phương án này xác định rõ các thành phần cấu thành (vùng đất, vùng nước) cũng như các hạng mục công trình bắt buộc. Đặc biệt, có các tiêu chí định lượng cụ thể sẽ tạo hành lang pháp lý minh bạch, giúp cơ quan quản lý tại địa phương thuận lợi hơn trong công tác thẩm định thiết kế, cấp phép xây dựng và quản lý hành lang bảo vệ luồng</w:t>
            </w:r>
          </w:p>
        </w:tc>
        <w:tc>
          <w:tcPr>
            <w:tcW w:w="2793" w:type="dxa"/>
          </w:tcPr>
          <w:p w14:paraId="774A217A" w14:textId="77E194EB"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7D3199C" w14:textId="77777777" w:rsidTr="001B580E">
        <w:trPr>
          <w:gridAfter w:val="1"/>
          <w:wAfter w:w="8" w:type="dxa"/>
        </w:trPr>
        <w:tc>
          <w:tcPr>
            <w:tcW w:w="914" w:type="dxa"/>
            <w:vAlign w:val="center"/>
          </w:tcPr>
          <w:p w14:paraId="18D3C4A4"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0F2B7510"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1136A41B"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7842699C"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pacing w:val="-2"/>
                <w:sz w:val="24"/>
              </w:rPr>
              <w:t xml:space="preserve">Bộ Nông nghiệp và Môi trường lựa chọn phương án 1 tại các Điều 24, 25, 26, 27, 28 được xây dựng có nội dung phù hợp và được đánh giá sâu hơn phương án 2. </w:t>
            </w:r>
          </w:p>
        </w:tc>
        <w:tc>
          <w:tcPr>
            <w:tcW w:w="2793" w:type="dxa"/>
          </w:tcPr>
          <w:p w14:paraId="26DA82A7" w14:textId="4B4F874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51B35CFE" w14:textId="77777777" w:rsidTr="001B580E">
        <w:trPr>
          <w:gridAfter w:val="1"/>
          <w:wAfter w:w="8" w:type="dxa"/>
        </w:trPr>
        <w:tc>
          <w:tcPr>
            <w:tcW w:w="914" w:type="dxa"/>
            <w:vAlign w:val="center"/>
          </w:tcPr>
          <w:p w14:paraId="688A4073"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1AD76042"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3948DB5"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Vĩnh Long (văn bản số 155/DBQH-</w:t>
            </w:r>
            <w:r w:rsidRPr="000F1EC3">
              <w:rPr>
                <w:rFonts w:ascii="Times New Roman" w:hAnsi="Times New Roman"/>
                <w:b/>
                <w:bCs/>
                <w:sz w:val="24"/>
              </w:rPr>
              <w:lastRenderedPageBreak/>
              <w:t>VP ngày 11/5/2026)</w:t>
            </w:r>
          </w:p>
        </w:tc>
        <w:tc>
          <w:tcPr>
            <w:tcW w:w="8872" w:type="dxa"/>
            <w:vAlign w:val="center"/>
          </w:tcPr>
          <w:p w14:paraId="050D2868"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Lựa chọn Phương án 1</w:t>
            </w:r>
          </w:p>
          <w:p w14:paraId="64D3D47A"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Lý do: các quy định trong phương án 1 thể hiện sự chặt chẽ về quản lý nhà nước, thuận lợi khi áp dụng và xác định rõ chức năng cảng và bến thủy nội địa.</w:t>
            </w:r>
          </w:p>
        </w:tc>
        <w:tc>
          <w:tcPr>
            <w:tcW w:w="2793" w:type="dxa"/>
          </w:tcPr>
          <w:p w14:paraId="2D8B3D17" w14:textId="4506860A"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w:t>
            </w:r>
            <w:r w:rsidRPr="000F1EC3">
              <w:rPr>
                <w:rFonts w:ascii="Times New Roman" w:hAnsi="Times New Roman"/>
                <w:sz w:val="24"/>
              </w:rPr>
              <w:lastRenderedPageBreak/>
              <w:t>chỉnh sửa theo hướng sửa đổi, bổ sung các quy định chỉ mang tính nguyên tắc, các nội dung chi tiết được chuyển quy định tại văn bản hướng dẫn thi hành.</w:t>
            </w:r>
          </w:p>
        </w:tc>
      </w:tr>
      <w:tr w:rsidR="0081493C" w:rsidRPr="000F1EC3" w14:paraId="655DA83D" w14:textId="77777777" w:rsidTr="001B580E">
        <w:trPr>
          <w:gridAfter w:val="1"/>
          <w:wAfter w:w="8" w:type="dxa"/>
        </w:trPr>
        <w:tc>
          <w:tcPr>
            <w:tcW w:w="914" w:type="dxa"/>
            <w:vAlign w:val="center"/>
          </w:tcPr>
          <w:p w14:paraId="69035A9B"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40B7E073"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692A6415"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Vĩnh Long (văn bản số 3079/SXD-VTAT ngày 11/5/2026)</w:t>
            </w:r>
          </w:p>
        </w:tc>
        <w:tc>
          <w:tcPr>
            <w:tcW w:w="8872" w:type="dxa"/>
            <w:vAlign w:val="center"/>
          </w:tcPr>
          <w:p w14:paraId="1A4E5E56"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2 (không nêu lý do)</w:t>
            </w:r>
          </w:p>
        </w:tc>
        <w:tc>
          <w:tcPr>
            <w:tcW w:w="2793" w:type="dxa"/>
          </w:tcPr>
          <w:p w14:paraId="4B85C183" w14:textId="26510B25"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69166B51" w14:textId="77777777" w:rsidTr="001B580E">
        <w:trPr>
          <w:gridAfter w:val="1"/>
          <w:wAfter w:w="8" w:type="dxa"/>
        </w:trPr>
        <w:tc>
          <w:tcPr>
            <w:tcW w:w="914" w:type="dxa"/>
            <w:vAlign w:val="center"/>
          </w:tcPr>
          <w:p w14:paraId="550C0A58"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49F5B82C"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2A74088"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ĐBQH Điện Biên (văn bản số 75/DBQH-VP ngày 13/5/2026)</w:t>
            </w:r>
          </w:p>
        </w:tc>
        <w:tc>
          <w:tcPr>
            <w:tcW w:w="8872" w:type="dxa"/>
            <w:vAlign w:val="center"/>
          </w:tcPr>
          <w:p w14:paraId="1563855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theo Phương án 2 vì quy định ngắn gọn, rõ ràng, tập trung vào các chức năng cơ bản, cốt lõi của cảng, bến thủy nội địa, bảo đảm tính khái quát và thuận lợi trong quá trình áp dụng. Đồng thời, việc không quy định “là đầu mối giao thông vận tải đường thủy nội địa” tại khoản 1 sẽ tránh trùng lặp với các quy định về tiêu chí xác định cảng, bến thủy nội địa tại Điều 25 của dự thảo Bộ luật.</w:t>
            </w:r>
          </w:p>
        </w:tc>
        <w:tc>
          <w:tcPr>
            <w:tcW w:w="2793" w:type="dxa"/>
          </w:tcPr>
          <w:p w14:paraId="26000040" w14:textId="0E25584C"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3A9BF799" w14:textId="77777777" w:rsidTr="001B580E">
        <w:trPr>
          <w:gridAfter w:val="1"/>
          <w:wAfter w:w="8" w:type="dxa"/>
        </w:trPr>
        <w:tc>
          <w:tcPr>
            <w:tcW w:w="914" w:type="dxa"/>
            <w:vAlign w:val="center"/>
          </w:tcPr>
          <w:p w14:paraId="1C1FFAFD"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11EC795B"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37F84970"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Sở Xây dựng Khánh Hòa (văn bản số 4773/SXD-QLVT ngày 11/5/2026)</w:t>
            </w:r>
          </w:p>
        </w:tc>
        <w:tc>
          <w:tcPr>
            <w:tcW w:w="8872" w:type="dxa"/>
            <w:vAlign w:val="center"/>
          </w:tcPr>
          <w:p w14:paraId="4B261C10"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Nội dung tại PA 1 và PA 2 khá tương đồng. Tuy nhiên, nội dung“Là đầu mối giao thông vận tải đường thuỷ nội địa” đã được quy định tại Điều 25, do đó đề xuất chọn PA 2.</w:t>
            </w:r>
          </w:p>
        </w:tc>
        <w:tc>
          <w:tcPr>
            <w:tcW w:w="2793" w:type="dxa"/>
          </w:tcPr>
          <w:p w14:paraId="100F6B81" w14:textId="57BAE876"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w:t>
            </w:r>
            <w:r w:rsidRPr="000F1EC3">
              <w:rPr>
                <w:rFonts w:ascii="Times New Roman" w:hAnsi="Times New Roman"/>
                <w:sz w:val="24"/>
              </w:rPr>
              <w:lastRenderedPageBreak/>
              <w:t>đổi, bổ sung các quy định chỉ mang tính nguyên tắc, các nội dung chi tiết được chuyển quy định tại văn bản hướng dẫn thi hành.</w:t>
            </w:r>
          </w:p>
        </w:tc>
      </w:tr>
      <w:tr w:rsidR="0081493C" w:rsidRPr="000F1EC3" w14:paraId="69CD3142" w14:textId="77777777" w:rsidTr="001B580E">
        <w:trPr>
          <w:gridAfter w:val="1"/>
          <w:wAfter w:w="8" w:type="dxa"/>
        </w:trPr>
        <w:tc>
          <w:tcPr>
            <w:tcW w:w="914" w:type="dxa"/>
            <w:vAlign w:val="center"/>
          </w:tcPr>
          <w:p w14:paraId="0C768A38"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3AA12D75"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459B44C"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Lào Cai (văn bản số 2441/SXD-VTPTNL ngày 8/5/2026)</w:t>
            </w:r>
          </w:p>
        </w:tc>
        <w:tc>
          <w:tcPr>
            <w:tcW w:w="8872" w:type="dxa"/>
            <w:vAlign w:val="center"/>
          </w:tcPr>
          <w:p w14:paraId="1066BCC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PA2 nhằm phát triển hệ thống cảng, bến thủy nội địa theo xu hướng hình thành các tổ hợp cảng, logistics và kết nối đa phương thức; quản lý theo khu vực cảng bao gồm vùng đất và vùng nước, phù hợp với yêu cầu quy hoạch và phát triển hiện đại.</w:t>
            </w:r>
          </w:p>
        </w:tc>
        <w:tc>
          <w:tcPr>
            <w:tcW w:w="2793" w:type="dxa"/>
          </w:tcPr>
          <w:p w14:paraId="5065BB3F" w14:textId="3874DCC5"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EC820CE" w14:textId="77777777" w:rsidTr="001B580E">
        <w:trPr>
          <w:gridAfter w:val="1"/>
          <w:wAfter w:w="8" w:type="dxa"/>
        </w:trPr>
        <w:tc>
          <w:tcPr>
            <w:tcW w:w="914" w:type="dxa"/>
            <w:vAlign w:val="center"/>
          </w:tcPr>
          <w:p w14:paraId="64F74B8E"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7E1A6A9D"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678F5AE"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Quảng Trị (văn bản số 74/DBQH-CTQH ngày 11/5/2026)</w:t>
            </w:r>
          </w:p>
        </w:tc>
        <w:tc>
          <w:tcPr>
            <w:tcW w:w="8872" w:type="dxa"/>
            <w:vAlign w:val="center"/>
          </w:tcPr>
          <w:p w14:paraId="7975FCBC"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Đoàn ĐBQH tỉnh Quảng Trị lựa chọn PA1. Lý do là vì việc xác lập vị thế “đầu mối giao thông” tại PA này là yếu tố then chốt để định hình tư cách pháp lý của cảng trong hệ thống quy hoạch và đầu tư quốc gia. Lựa chọn này không chỉ bảo đảm sự tương thích hoàn thiện với chức năng cảng biển tại Điều 20 mà còn tạo hành lang pháp lý minh bạch cho các dịch vụ logistics, đáp ứng mục tiêu hiện đại hóa và hội nhập quốc tế của ngành giao thông đường thủy.</w:t>
            </w:r>
          </w:p>
        </w:tc>
        <w:tc>
          <w:tcPr>
            <w:tcW w:w="2793" w:type="dxa"/>
          </w:tcPr>
          <w:p w14:paraId="3E6DA10C" w14:textId="03DD34C6"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4E1C327" w14:textId="77777777" w:rsidTr="001B580E">
        <w:trPr>
          <w:gridAfter w:val="1"/>
          <w:wAfter w:w="8" w:type="dxa"/>
        </w:trPr>
        <w:tc>
          <w:tcPr>
            <w:tcW w:w="914" w:type="dxa"/>
            <w:vAlign w:val="center"/>
          </w:tcPr>
          <w:p w14:paraId="2E9F3157"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2C349A6B"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914BD1B"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Thanh Hóa (văn bản số 69/BC-ĐBQH ngày 8/5/2026)</w:t>
            </w:r>
          </w:p>
        </w:tc>
        <w:tc>
          <w:tcPr>
            <w:tcW w:w="8872" w:type="dxa"/>
            <w:vAlign w:val="center"/>
          </w:tcPr>
          <w:p w14:paraId="2BA7A48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1 vì phương án này thể hiện đầy đủ hơn vai trò của cảng, bến thủy nội địa là đầu mối giao thông vận tải đường thủy nội địa, phù hợp với định hướng phát triển kết cấu hạ tầng logistics và vận tải đa phương thức hiện nay. Việc xác định cảng, bến thủy nội địa là đầu mối giao thông vận tải có ý nghĩa quan trọng trong công tác quy hoạch, đầu tư, quản lý kết cấu hạ tầng và phát triển hệ thống logistics đường thủy nội địa.</w:t>
            </w:r>
          </w:p>
        </w:tc>
        <w:tc>
          <w:tcPr>
            <w:tcW w:w="2793" w:type="dxa"/>
          </w:tcPr>
          <w:p w14:paraId="595FA249" w14:textId="583E552A"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w:t>
            </w:r>
            <w:r w:rsidRPr="000F1EC3">
              <w:rPr>
                <w:rFonts w:ascii="Times New Roman" w:hAnsi="Times New Roman"/>
                <w:sz w:val="24"/>
              </w:rPr>
              <w:lastRenderedPageBreak/>
              <w:t>chỉ mang tính nguyên tắc, các nội dung chi tiết được chuyển quy định tại văn bản hướng dẫn thi hành.</w:t>
            </w:r>
          </w:p>
        </w:tc>
      </w:tr>
      <w:tr w:rsidR="0081493C" w:rsidRPr="000F1EC3" w14:paraId="77C9BE99" w14:textId="77777777" w:rsidTr="001B580E">
        <w:trPr>
          <w:gridAfter w:val="1"/>
          <w:wAfter w:w="8" w:type="dxa"/>
        </w:trPr>
        <w:tc>
          <w:tcPr>
            <w:tcW w:w="914" w:type="dxa"/>
            <w:vAlign w:val="center"/>
          </w:tcPr>
          <w:p w14:paraId="240899F1"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7906862B"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0A5614BD"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UBND TP Hải Phòng (văn bản số 895/UBND-XDCT ngày 12/5/2026)</w:t>
            </w:r>
          </w:p>
        </w:tc>
        <w:tc>
          <w:tcPr>
            <w:tcW w:w="8872" w:type="dxa"/>
            <w:vAlign w:val="center"/>
          </w:tcPr>
          <w:p w14:paraId="2366468B"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lựa chọn phương án 1 do khái niệm về đầu mối giao thông đường thủy nội địa chưa được làm rõ, việc quy định theo phương án 1 sẽ đảm bảo tính khả thi trong triển khai thực hiện Bộ Luật</w:t>
            </w:r>
          </w:p>
        </w:tc>
        <w:tc>
          <w:tcPr>
            <w:tcW w:w="2793" w:type="dxa"/>
          </w:tcPr>
          <w:p w14:paraId="25ACF899" w14:textId="13708ECA"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1AFB602" w14:textId="77777777" w:rsidTr="001B580E">
        <w:trPr>
          <w:gridAfter w:val="1"/>
          <w:wAfter w:w="8" w:type="dxa"/>
        </w:trPr>
        <w:tc>
          <w:tcPr>
            <w:tcW w:w="914" w:type="dxa"/>
            <w:vAlign w:val="center"/>
          </w:tcPr>
          <w:p w14:paraId="11A1FC8E"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0E628890"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51DBFE5"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Trường ĐHGTVT TP HCM (văn bản số 260511-02/CV-UTH-MLP ngày 11/5/2026)</w:t>
            </w:r>
          </w:p>
        </w:tc>
        <w:tc>
          <w:tcPr>
            <w:tcW w:w="8872" w:type="dxa"/>
            <w:vAlign w:val="center"/>
          </w:tcPr>
          <w:p w14:paraId="1157AE41"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Cần lựa chọn Phương án 2 đối với các quy định về cảng, bến thủy nội địa tại Điều 24, Điều 25, Điều 26, Điều 27 và Điều 28 của Dự thảo. Bởi Phương án 2 tiếp cận theo mô hình quản lý kết cấu hạ tầng và chức năng khai thác cảng tương đồng với quy định đối với cảng biển trong Bộ luật, bảo đảm tính thống nhất trong kỹ thuật lập pháp và thuận lợi cho quản lý hệ thống logistics tích hợp giữa cảng biển, cảng thủy nội địa, ICD và vận tải đa phương thức. So với Phương án 1, Phương án 2 có nhiều ưu điểm hơn, cụ thể: Không xác định cảng thủy nội địa chủ yếu dựa trên tiêu chí số lượng cầu cảng, qua đó tránh tình trạng cứng hóa tiêu chí pháp lý đối với mô hình cảng, bến; Phù hợp thực tiễn khai thác hiện nay khi nhiều cảng thủy nội địa có quy mô linh hoạt, phát triển theo nhu cầu logistics và chuỗi cung ứng; Tạo điều kiện thuận lợi cho việc hình thành mô hình cảng tích hợp, cảng logistics và trung tâm trung chuyển hàng hóa kết nối với cảng biển; Bảo đảm khả năng kết nối vận tải đa phương thức giữa đường thủy nội địa với đường biển, đường bộ, đường sắt và cảng cạn (ICD); Phủ hợp xu hướng quản lý hiện đại theo chức năng khai thác, công nghệ vận hành và hiệu quả logistics thay vì chỉ dựa vào quy mô công trình; Thuận lợi cho việc xã hội hóa đầu tư, thu hút doanh nghiệp đầu tư phát triển cảng thủy nội địa theo hướng xanh, thông minh và hiện đại. Trong khi đó, Phương án 1 quy định cảng thủy nội địa phải có từ 02 cầu cảng trở lên là tiêu chí mang tính cơ học, chưa phản ánh đầy đủ bản chất khai thác cảng và có thể dẫn đến hạn chế tính linh hoạt trong đầu tư, tổ chức khai thác và quản lý hoạt động cảng thủy nội địa trên thực tế."</w:t>
            </w:r>
          </w:p>
        </w:tc>
        <w:tc>
          <w:tcPr>
            <w:tcW w:w="2793" w:type="dxa"/>
          </w:tcPr>
          <w:p w14:paraId="6BC4A30A" w14:textId="6022936D"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FC668C2" w14:textId="77777777" w:rsidTr="001B580E">
        <w:trPr>
          <w:gridAfter w:val="1"/>
          <w:wAfter w:w="8" w:type="dxa"/>
        </w:trPr>
        <w:tc>
          <w:tcPr>
            <w:tcW w:w="914" w:type="dxa"/>
            <w:vAlign w:val="center"/>
          </w:tcPr>
          <w:p w14:paraId="7CE662D5"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2D6A8C2D"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6B906B7E"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Gia Lai (văn bản số 3648/SXD-GT ngày 11/5/2026)</w:t>
            </w:r>
          </w:p>
        </w:tc>
        <w:tc>
          <w:tcPr>
            <w:tcW w:w="8872" w:type="dxa"/>
            <w:vAlign w:val="center"/>
          </w:tcPr>
          <w:p w14:paraId="1E78B61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Phương án 1 (không nêu lý do)</w:t>
            </w:r>
          </w:p>
        </w:tc>
        <w:tc>
          <w:tcPr>
            <w:tcW w:w="2793" w:type="dxa"/>
          </w:tcPr>
          <w:p w14:paraId="17EF3B66" w14:textId="2956BF11"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140028E" w14:textId="77777777" w:rsidTr="001B580E">
        <w:trPr>
          <w:gridAfter w:val="1"/>
          <w:wAfter w:w="8" w:type="dxa"/>
        </w:trPr>
        <w:tc>
          <w:tcPr>
            <w:tcW w:w="914" w:type="dxa"/>
            <w:vAlign w:val="center"/>
          </w:tcPr>
          <w:p w14:paraId="09ADB6DE"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684D14B3"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01FFDC0"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Quảng Ngãi (văn bản số 3329/SXD-ATGT ngày 12/5/2026)</w:t>
            </w:r>
          </w:p>
        </w:tc>
        <w:tc>
          <w:tcPr>
            <w:tcW w:w="8872" w:type="dxa"/>
            <w:vAlign w:val="center"/>
          </w:tcPr>
          <w:p w14:paraId="1656B01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Phương án 1, vì nội dung này quy định theo hướng giao cơ quan quản lý nhà nước có thẩm quyền căn cứ vào quy mô, phạm vi ảnh hưởng để quy định tiêu chí phân loại, công bố danh mục, phân cấp kỹ thuật và tiêu chuẩn của cảng, bến thủy nội địa.</w:t>
            </w:r>
          </w:p>
        </w:tc>
        <w:tc>
          <w:tcPr>
            <w:tcW w:w="2793" w:type="dxa"/>
          </w:tcPr>
          <w:p w14:paraId="16ADB686" w14:textId="7FECC198"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0917CB2" w14:textId="77777777" w:rsidTr="001B580E">
        <w:trPr>
          <w:gridAfter w:val="1"/>
          <w:wAfter w:w="8" w:type="dxa"/>
        </w:trPr>
        <w:tc>
          <w:tcPr>
            <w:tcW w:w="914" w:type="dxa"/>
            <w:vAlign w:val="center"/>
          </w:tcPr>
          <w:p w14:paraId="2FAECD31"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60028ED7"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D2EB73A"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Hà Tĩnh (văn bản số 2546/SXD-QLVT ngày 11/5/2026)</w:t>
            </w:r>
          </w:p>
        </w:tc>
        <w:tc>
          <w:tcPr>
            <w:tcW w:w="8872" w:type="dxa"/>
            <w:vAlign w:val="center"/>
          </w:tcPr>
          <w:p w14:paraId="6438263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1 (không nêu lý do)</w:t>
            </w:r>
          </w:p>
        </w:tc>
        <w:tc>
          <w:tcPr>
            <w:tcW w:w="2793" w:type="dxa"/>
          </w:tcPr>
          <w:p w14:paraId="591E7593" w14:textId="38CBDCE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C46E5D8" w14:textId="77777777" w:rsidTr="001B580E">
        <w:trPr>
          <w:gridAfter w:val="1"/>
          <w:wAfter w:w="8" w:type="dxa"/>
        </w:trPr>
        <w:tc>
          <w:tcPr>
            <w:tcW w:w="914" w:type="dxa"/>
            <w:vAlign w:val="center"/>
          </w:tcPr>
          <w:p w14:paraId="6869688B"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2EDC78F6"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B1939DA"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Sở Xây dựng Hưng Yên (văn bản số 2188/SXD-QLKCHT ngày 12/5/2026)</w:t>
            </w:r>
          </w:p>
        </w:tc>
        <w:tc>
          <w:tcPr>
            <w:tcW w:w="8872" w:type="dxa"/>
            <w:vAlign w:val="center"/>
          </w:tcPr>
          <w:p w14:paraId="71CD3AC8"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xem xét lựa chọn phương án 1 do khái niệm về đầu mối giao thông đường thủy nội địa chưa được làm rõ, việc quy định theo phương án 1 sẽ đảm bảo tính khả thi trong triển khai thực hiện Bộ Luật</w:t>
            </w:r>
          </w:p>
        </w:tc>
        <w:tc>
          <w:tcPr>
            <w:tcW w:w="2793" w:type="dxa"/>
          </w:tcPr>
          <w:p w14:paraId="6954FBA5" w14:textId="06EBD2CA"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AA73874" w14:textId="77777777" w:rsidTr="001B580E">
        <w:trPr>
          <w:gridAfter w:val="1"/>
          <w:wAfter w:w="8" w:type="dxa"/>
        </w:trPr>
        <w:tc>
          <w:tcPr>
            <w:tcW w:w="914" w:type="dxa"/>
            <w:vAlign w:val="center"/>
          </w:tcPr>
          <w:p w14:paraId="46EC87CE"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7B22B8E2"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E1BA824"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Đoàn ĐHQH Lào Cai (văn bản số 24-BC/DBQH ngày 11/5/2026)</w:t>
            </w:r>
          </w:p>
        </w:tc>
        <w:tc>
          <w:tcPr>
            <w:tcW w:w="8872" w:type="dxa"/>
            <w:vAlign w:val="center"/>
          </w:tcPr>
          <w:p w14:paraId="060E589B"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PA 1. Lý do: Phương án 1 xác định rõ cảng, bến là đầu mối giao thông vận tải đường thủy nội địa, không chỉ đơn thuần là nơi xếp dỡ. Cách tiếp cận này phù hợp hơn với các tỉnh biên giới, nơi mỗi công trình đường thủy đều cần phải được nhìn trong mối quan hệ với logistics cửa khẩu, vận tải đa phương thức, kết nối đường bộ, đường sắt, kho bãi. Quy định chức năng như Phương án 2 thì phạm vi chức năng sẽ hẹp, thiếu định hướng phát triển dài hạn cho các điểm trung chuyển hàng hóa.</w:t>
            </w:r>
          </w:p>
        </w:tc>
        <w:tc>
          <w:tcPr>
            <w:tcW w:w="2793" w:type="dxa"/>
          </w:tcPr>
          <w:p w14:paraId="6F69D898" w14:textId="200231A1"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33889D2E" w14:textId="77777777" w:rsidTr="001B580E">
        <w:trPr>
          <w:gridAfter w:val="1"/>
          <w:wAfter w:w="8" w:type="dxa"/>
        </w:trPr>
        <w:tc>
          <w:tcPr>
            <w:tcW w:w="914" w:type="dxa"/>
            <w:vAlign w:val="center"/>
          </w:tcPr>
          <w:p w14:paraId="5BA8A5FE" w14:textId="77777777" w:rsidR="0081493C" w:rsidRPr="00845D33" w:rsidRDefault="0081493C" w:rsidP="00845D33">
            <w:pPr>
              <w:pStyle w:val="ListParagraph"/>
              <w:numPr>
                <w:ilvl w:val="0"/>
                <w:numId w:val="19"/>
              </w:numPr>
              <w:spacing w:before="20" w:after="20"/>
              <w:jc w:val="center"/>
              <w:rPr>
                <w:rFonts w:ascii="Times New Roman" w:hAnsi="Times New Roman"/>
                <w:b/>
                <w:bCs/>
                <w:sz w:val="24"/>
              </w:rPr>
            </w:pPr>
          </w:p>
        </w:tc>
        <w:tc>
          <w:tcPr>
            <w:tcW w:w="992" w:type="dxa"/>
            <w:vAlign w:val="center"/>
          </w:tcPr>
          <w:p w14:paraId="6FF4EFCA"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22A01584"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7266299D"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(Văn bản số 3107/BQP-PC ngày 11/5/2026)</w:t>
            </w:r>
          </w:p>
        </w:tc>
        <w:tc>
          <w:tcPr>
            <w:tcW w:w="8872" w:type="dxa"/>
            <w:vAlign w:val="center"/>
          </w:tcPr>
          <w:p w14:paraId="545762DF"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Phương án 1, lý do: Phương án 1 xác định rõ cảng thủy nội địa là “đầu mối giao thông vận tải, tạo tiền đề về pháp lý vững chắc hơn cho việc quy hoạch và kết nối đa phương thức.</w:t>
            </w:r>
          </w:p>
        </w:tc>
        <w:tc>
          <w:tcPr>
            <w:tcW w:w="2793" w:type="dxa"/>
          </w:tcPr>
          <w:p w14:paraId="3778E226" w14:textId="7EC681B4"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5CD85AA1" w14:textId="77777777" w:rsidTr="001B580E">
        <w:trPr>
          <w:gridAfter w:val="1"/>
          <w:wAfter w:w="8" w:type="dxa"/>
        </w:trPr>
        <w:tc>
          <w:tcPr>
            <w:tcW w:w="914" w:type="dxa"/>
            <w:vAlign w:val="center"/>
          </w:tcPr>
          <w:p w14:paraId="1B02AB3B" w14:textId="77777777" w:rsidR="0081493C" w:rsidRPr="000F1EC3" w:rsidRDefault="0081493C" w:rsidP="0081493C">
            <w:pPr>
              <w:spacing w:before="20" w:after="20"/>
              <w:jc w:val="center"/>
              <w:rPr>
                <w:rFonts w:ascii="Times New Roman" w:hAnsi="Times New Roman"/>
                <w:b/>
                <w:bCs/>
                <w:sz w:val="24"/>
              </w:rPr>
            </w:pPr>
          </w:p>
        </w:tc>
        <w:tc>
          <w:tcPr>
            <w:tcW w:w="992" w:type="dxa"/>
            <w:vMerge w:val="restart"/>
            <w:vAlign w:val="center"/>
          </w:tcPr>
          <w:p w14:paraId="506FAEC7"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Điều 27</w:t>
            </w:r>
          </w:p>
        </w:tc>
        <w:tc>
          <w:tcPr>
            <w:tcW w:w="1620" w:type="dxa"/>
            <w:vAlign w:val="center"/>
          </w:tcPr>
          <w:p w14:paraId="6790F8E8"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Lai Châu</w:t>
            </w:r>
          </w:p>
          <w:p w14:paraId="3FA9DCB5"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(Văn bản số 2228/SXD-</w:t>
            </w:r>
          </w:p>
        </w:tc>
        <w:tc>
          <w:tcPr>
            <w:tcW w:w="8872" w:type="dxa"/>
            <w:vAlign w:val="center"/>
          </w:tcPr>
          <w:p w14:paraId="7284F254" w14:textId="7777777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Kiến nghị lựa chọn phương án 1, phương án này xác định rõ các thành phần cấu thành (vùng đất, vùng nước) cũng như các hạng mục công trình bắt buộc. Đặc biệt, có các tiêu chí định lượng cụ thể sẽ tạo hành lang pháp lý minh bạch, giúp cơ quan quản lý tại địa phương thuận lợi hơn trong công tác thẩm định thiết kế, cấp phép xây dựng và quản lý hành lang bảo vệ luồng</w:t>
            </w:r>
          </w:p>
        </w:tc>
        <w:tc>
          <w:tcPr>
            <w:tcW w:w="2793" w:type="dxa"/>
          </w:tcPr>
          <w:p w14:paraId="715173E7" w14:textId="206AC609"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12BC77A" w14:textId="77777777" w:rsidTr="001B580E">
        <w:trPr>
          <w:gridAfter w:val="1"/>
          <w:wAfter w:w="8" w:type="dxa"/>
        </w:trPr>
        <w:tc>
          <w:tcPr>
            <w:tcW w:w="914" w:type="dxa"/>
            <w:vAlign w:val="center"/>
          </w:tcPr>
          <w:p w14:paraId="7319BA1C"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3D05CC64"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227EFADC"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7C6A9E4A"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1</w:t>
            </w:r>
          </w:p>
          <w:p w14:paraId="21476AF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Lý do: các quy định trong phương án 1 có khả năng tổ chức thực thi cao, có định lượng cụ thể, tạo điều kiện thuận lợi trong công tác kiểm tra, tránh áp dụng tùy nghi</w:t>
            </w:r>
          </w:p>
        </w:tc>
        <w:tc>
          <w:tcPr>
            <w:tcW w:w="2793" w:type="dxa"/>
          </w:tcPr>
          <w:p w14:paraId="4BDEE609" w14:textId="3B3C139F"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76F7130" w14:textId="77777777" w:rsidTr="001B580E">
        <w:trPr>
          <w:gridAfter w:val="1"/>
          <w:wAfter w:w="8" w:type="dxa"/>
        </w:trPr>
        <w:tc>
          <w:tcPr>
            <w:tcW w:w="914" w:type="dxa"/>
            <w:vAlign w:val="center"/>
          </w:tcPr>
          <w:p w14:paraId="479075DA"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0C060091"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D508261"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74A6BCEB"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pacing w:val="-2"/>
                <w:sz w:val="24"/>
              </w:rPr>
              <w:t xml:space="preserve">Bộ Nông nghiệp và Môi trường lựa chọn phương án 1 tại các Điều 24, 25, 26, 27, 28 được xây dựng có nội dung phù hợp và được đánh giá sâu hơn phương án 2. </w:t>
            </w:r>
          </w:p>
        </w:tc>
        <w:tc>
          <w:tcPr>
            <w:tcW w:w="2793" w:type="dxa"/>
          </w:tcPr>
          <w:p w14:paraId="3BAA82F9" w14:textId="1939A69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549EAE3C" w14:textId="77777777" w:rsidTr="001B580E">
        <w:trPr>
          <w:gridAfter w:val="1"/>
          <w:wAfter w:w="8" w:type="dxa"/>
        </w:trPr>
        <w:tc>
          <w:tcPr>
            <w:tcW w:w="914" w:type="dxa"/>
            <w:vAlign w:val="center"/>
          </w:tcPr>
          <w:p w14:paraId="2955F30A"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61598DBD"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439F73F6"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Lào Cai (văn bản số 2441/SXD-VTPTNL ngày 8/5/2026)</w:t>
            </w:r>
          </w:p>
        </w:tc>
        <w:tc>
          <w:tcPr>
            <w:tcW w:w="8872" w:type="dxa"/>
            <w:vAlign w:val="center"/>
          </w:tcPr>
          <w:p w14:paraId="57307836"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PA2 nhằm phát triển hệ thống cảng, bến thủy nội địa theo xu hướng hình thành các tổ hợp cảng, logistics và kết nối đa phương thức; quản lý theo khu vực cảng bao gồm vùng đất và vùng nước, phù hợp với yêu cầu quy hoạch và phát triển hiện đại.</w:t>
            </w:r>
          </w:p>
        </w:tc>
        <w:tc>
          <w:tcPr>
            <w:tcW w:w="2793" w:type="dxa"/>
          </w:tcPr>
          <w:p w14:paraId="79809345" w14:textId="53B9BA30"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367A47" w:rsidRPr="000F1EC3" w14:paraId="24D24EEA" w14:textId="77777777" w:rsidTr="00845D33">
        <w:trPr>
          <w:gridAfter w:val="1"/>
          <w:wAfter w:w="8" w:type="dxa"/>
          <w:trHeight w:val="3402"/>
        </w:trPr>
        <w:tc>
          <w:tcPr>
            <w:tcW w:w="914" w:type="dxa"/>
            <w:vAlign w:val="center"/>
          </w:tcPr>
          <w:p w14:paraId="668F0A7D" w14:textId="77777777" w:rsidR="00367A47" w:rsidRPr="000F1EC3" w:rsidRDefault="00367A47" w:rsidP="005E54B6">
            <w:pPr>
              <w:spacing w:before="20" w:after="20"/>
              <w:jc w:val="center"/>
              <w:rPr>
                <w:rFonts w:ascii="Times New Roman" w:hAnsi="Times New Roman"/>
                <w:b/>
                <w:bCs/>
                <w:sz w:val="24"/>
              </w:rPr>
            </w:pPr>
          </w:p>
        </w:tc>
        <w:tc>
          <w:tcPr>
            <w:tcW w:w="992" w:type="dxa"/>
            <w:vMerge/>
            <w:vAlign w:val="center"/>
          </w:tcPr>
          <w:p w14:paraId="18923D52" w14:textId="77777777" w:rsidR="00367A47" w:rsidRPr="000F1EC3" w:rsidRDefault="00367A47" w:rsidP="005E54B6">
            <w:pPr>
              <w:spacing w:before="20" w:after="20"/>
              <w:jc w:val="center"/>
              <w:rPr>
                <w:rFonts w:ascii="Times New Roman" w:hAnsi="Times New Roman"/>
                <w:b/>
                <w:bCs/>
                <w:sz w:val="24"/>
              </w:rPr>
            </w:pPr>
          </w:p>
        </w:tc>
        <w:tc>
          <w:tcPr>
            <w:tcW w:w="1620" w:type="dxa"/>
            <w:vAlign w:val="center"/>
          </w:tcPr>
          <w:p w14:paraId="3D473972" w14:textId="42D6F0EB" w:rsidR="00367A47" w:rsidRPr="000F1EC3" w:rsidRDefault="00367A47" w:rsidP="005E54B6">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08DD5A12" w14:textId="77777777" w:rsidR="00367A47" w:rsidRPr="000F1EC3" w:rsidRDefault="00367A47" w:rsidP="005E54B6">
            <w:pPr>
              <w:spacing w:before="20" w:after="20"/>
              <w:jc w:val="both"/>
              <w:rPr>
                <w:rFonts w:ascii="Times New Roman" w:hAnsi="Times New Roman"/>
                <w:sz w:val="24"/>
              </w:rPr>
            </w:pPr>
            <w:r w:rsidRPr="000F1EC3">
              <w:rPr>
                <w:rFonts w:ascii="Times New Roman" w:hAnsi="Times New Roman"/>
                <w:sz w:val="24"/>
              </w:rPr>
              <w:t xml:space="preserve">Định nghĩa, tiêu chí xác định, chức năng, phân loại, nguyên tắc đặt tên, đổi tên Cảng, bến thủy nội địa: </w:t>
            </w:r>
          </w:p>
          <w:p w14:paraId="2ED50C07" w14:textId="77777777" w:rsidR="00367A47" w:rsidRPr="000F1EC3" w:rsidRDefault="00367A47" w:rsidP="005E54B6">
            <w:pPr>
              <w:spacing w:before="20" w:after="20"/>
              <w:jc w:val="both"/>
              <w:rPr>
                <w:rFonts w:ascii="Times New Roman" w:hAnsi="Times New Roman"/>
                <w:sz w:val="24"/>
              </w:rPr>
            </w:pPr>
            <w:r w:rsidRPr="000F1EC3">
              <w:rPr>
                <w:rFonts w:ascii="Times New Roman" w:hAnsi="Times New Roman"/>
                <w:sz w:val="24"/>
              </w:rPr>
              <w:t xml:space="preserve">Đề xuất: Lựa chọn PA2 phù hợp hơn với định hướng vận tải thủy kết hợp logistics, cång/bến chuyên dùng gắn với khu công nghiệp và mô hình giao thoa biển - sông mà Tờ trình đã nêu là bất cập thực tiễn cần xử lý. </w:t>
            </w:r>
          </w:p>
          <w:p w14:paraId="7073AF44" w14:textId="3E3B37D1" w:rsidR="00367A47" w:rsidRPr="000F1EC3" w:rsidRDefault="00367A47" w:rsidP="005E54B6">
            <w:pPr>
              <w:spacing w:before="20" w:after="20"/>
              <w:jc w:val="both"/>
              <w:rPr>
                <w:rFonts w:ascii="Times New Roman" w:hAnsi="Times New Roman"/>
                <w:sz w:val="24"/>
              </w:rPr>
            </w:pPr>
            <w:r w:rsidRPr="000F1EC3">
              <w:rPr>
                <w:rFonts w:ascii="Times New Roman" w:hAnsi="Times New Roman"/>
                <w:sz w:val="24"/>
              </w:rPr>
              <w:t>Ví dụ tại Điều 27 - Phân loại cảng, bến thủy nội địa, tại PA1: “Bến thủy nội địa gồm bến tổng hợp, bến hàng hóa, bến hành khách, bến chuyên dùng và bến khách ngang sông, có khả năng tiếp nhận phương tiện dưới 500 tấn hoặc phương tiện có sức chở dưới 70 khách”. Tuy nhiên thực tế tại khu vực phía Bắc, có nhiều Bến thủy nội địa trong đó tại Công ty có Bến thủy nội địa Hóa chất bắc Mông Dương II có khả năng tiếp nhận phương tiện trên 5.000 tấn. Do vậy để phù hợp với thực tiễn, Công ty kiến nghị lựa chọn PA2 trong Dự thảo.</w:t>
            </w:r>
          </w:p>
        </w:tc>
        <w:tc>
          <w:tcPr>
            <w:tcW w:w="2793" w:type="dxa"/>
            <w:vAlign w:val="center"/>
          </w:tcPr>
          <w:p w14:paraId="2117B047" w14:textId="12AAC3BE" w:rsidR="00367A47" w:rsidRPr="000F1EC3" w:rsidRDefault="00367A47"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073F79F" w14:textId="77777777" w:rsidTr="001B580E">
        <w:trPr>
          <w:gridAfter w:val="1"/>
          <w:wAfter w:w="8" w:type="dxa"/>
        </w:trPr>
        <w:tc>
          <w:tcPr>
            <w:tcW w:w="914" w:type="dxa"/>
            <w:vAlign w:val="center"/>
          </w:tcPr>
          <w:p w14:paraId="44CBB814"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5661AACF"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BE2B557"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ĐBQH Điện Biên (văn bản số 75/DBQH-VP ngày 13/5/2026)</w:t>
            </w:r>
          </w:p>
        </w:tc>
        <w:tc>
          <w:tcPr>
            <w:tcW w:w="8872" w:type="dxa"/>
            <w:vAlign w:val="center"/>
          </w:tcPr>
          <w:p w14:paraId="4353CB42"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theo Phương án 1 vì quy định đã phân định rõ giữa cảng thủy nội địa và bến thủy nội địa trên cơ sở quy mô tiếp nhận phương tiện qua đó tạo cơ sở thuận lợi cho công tác quản lý nhà nước, quy hoạch, đầu tư xây dựng, phân cấp quản lý và tổ chức khai thác trong thực tiễn. Đồng thời khoản 3 của Phương án 1 đã kế thừa quy định tại khoản 4 Điều 13 Luật Giao thông đường thủy nội địa hiện hành.</w:t>
            </w:r>
          </w:p>
        </w:tc>
        <w:tc>
          <w:tcPr>
            <w:tcW w:w="2793" w:type="dxa"/>
          </w:tcPr>
          <w:p w14:paraId="00A9782D" w14:textId="06C269E6"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32EF7597" w14:textId="77777777" w:rsidTr="001B580E">
        <w:trPr>
          <w:gridAfter w:val="1"/>
          <w:wAfter w:w="8" w:type="dxa"/>
        </w:trPr>
        <w:tc>
          <w:tcPr>
            <w:tcW w:w="914" w:type="dxa"/>
            <w:vAlign w:val="center"/>
          </w:tcPr>
          <w:p w14:paraId="7BEF34C0"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22C7929D"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D5048B5"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Sở Xây dựng Vĩnh Long (văn bản số 3079/SXD-VTAT ngày 11/5/2026)</w:t>
            </w:r>
          </w:p>
        </w:tc>
        <w:tc>
          <w:tcPr>
            <w:tcW w:w="8872" w:type="dxa"/>
            <w:vAlign w:val="center"/>
          </w:tcPr>
          <w:p w14:paraId="6C02200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1 (không nêu lý do)</w:t>
            </w:r>
          </w:p>
        </w:tc>
        <w:tc>
          <w:tcPr>
            <w:tcW w:w="2793" w:type="dxa"/>
          </w:tcPr>
          <w:p w14:paraId="2893389C" w14:textId="6B655862"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390AEB5D" w14:textId="77777777" w:rsidTr="001B580E">
        <w:trPr>
          <w:gridAfter w:val="1"/>
          <w:wAfter w:w="8" w:type="dxa"/>
        </w:trPr>
        <w:tc>
          <w:tcPr>
            <w:tcW w:w="914" w:type="dxa"/>
            <w:vAlign w:val="center"/>
          </w:tcPr>
          <w:p w14:paraId="277EEF2F" w14:textId="77777777" w:rsidR="005E54B6" w:rsidRPr="000F1EC3" w:rsidRDefault="005E54B6" w:rsidP="005E54B6">
            <w:pPr>
              <w:spacing w:before="20" w:after="20"/>
              <w:jc w:val="center"/>
              <w:rPr>
                <w:rFonts w:ascii="Times New Roman" w:hAnsi="Times New Roman"/>
                <w:b/>
                <w:bCs/>
                <w:sz w:val="24"/>
              </w:rPr>
            </w:pPr>
          </w:p>
        </w:tc>
        <w:tc>
          <w:tcPr>
            <w:tcW w:w="992" w:type="dxa"/>
            <w:vMerge/>
            <w:vAlign w:val="center"/>
          </w:tcPr>
          <w:p w14:paraId="4BAAA2EF" w14:textId="77777777" w:rsidR="005E54B6" w:rsidRPr="000F1EC3" w:rsidRDefault="005E54B6" w:rsidP="005E54B6">
            <w:pPr>
              <w:spacing w:before="20" w:after="20"/>
              <w:jc w:val="center"/>
              <w:rPr>
                <w:rFonts w:ascii="Times New Roman" w:hAnsi="Times New Roman"/>
                <w:b/>
                <w:bCs/>
                <w:sz w:val="24"/>
              </w:rPr>
            </w:pPr>
          </w:p>
        </w:tc>
        <w:tc>
          <w:tcPr>
            <w:tcW w:w="1620" w:type="dxa"/>
            <w:vAlign w:val="center"/>
          </w:tcPr>
          <w:p w14:paraId="6C3981E3"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Khánh Hòa (văn bản số 4773/SXD-QLVT ngày 11/5/2026)</w:t>
            </w:r>
          </w:p>
        </w:tc>
        <w:tc>
          <w:tcPr>
            <w:tcW w:w="8872" w:type="dxa"/>
            <w:vAlign w:val="center"/>
          </w:tcPr>
          <w:p w14:paraId="7538E43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để quy định được đơn giản, dễ áp dụng, đề xuất chọn PA 2. Tuy nhiên, đề nghị cơ quan soạn thảo nghiên cứu bổ sung nội dung quy định tiêu chí phân loại, phân cấp kỹ thuật, tiêu chuẩn cấp kỹ thuật và tiêu chuẩn của cảng, bến thủy nội địa để cơ quan quản lý nhà nước thuận lợi trong việc xác định, phân loại.</w:t>
            </w:r>
          </w:p>
        </w:tc>
        <w:tc>
          <w:tcPr>
            <w:tcW w:w="2793" w:type="dxa"/>
            <w:vAlign w:val="center"/>
          </w:tcPr>
          <w:p w14:paraId="2297EA79" w14:textId="5A196A00" w:rsidR="005E54B6"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7479E" w:rsidRPr="000F1EC3" w14:paraId="54733B73" w14:textId="77777777" w:rsidTr="00845D33">
        <w:trPr>
          <w:gridAfter w:val="1"/>
          <w:wAfter w:w="8" w:type="dxa"/>
          <w:trHeight w:val="3076"/>
        </w:trPr>
        <w:tc>
          <w:tcPr>
            <w:tcW w:w="914" w:type="dxa"/>
            <w:vAlign w:val="center"/>
          </w:tcPr>
          <w:p w14:paraId="72F42C98" w14:textId="77777777" w:rsidR="0087479E" w:rsidRPr="000F1EC3" w:rsidRDefault="0087479E" w:rsidP="005E54B6">
            <w:pPr>
              <w:spacing w:before="20" w:after="20"/>
              <w:jc w:val="center"/>
              <w:rPr>
                <w:rFonts w:ascii="Times New Roman" w:hAnsi="Times New Roman"/>
                <w:b/>
                <w:bCs/>
                <w:sz w:val="24"/>
              </w:rPr>
            </w:pPr>
          </w:p>
        </w:tc>
        <w:tc>
          <w:tcPr>
            <w:tcW w:w="992" w:type="dxa"/>
            <w:vMerge/>
            <w:vAlign w:val="center"/>
          </w:tcPr>
          <w:p w14:paraId="1C5FACF2" w14:textId="77777777" w:rsidR="0087479E" w:rsidRPr="000F1EC3" w:rsidRDefault="0087479E" w:rsidP="005E54B6">
            <w:pPr>
              <w:spacing w:before="20" w:after="20"/>
              <w:jc w:val="center"/>
              <w:rPr>
                <w:rFonts w:ascii="Times New Roman" w:hAnsi="Times New Roman"/>
                <w:b/>
                <w:bCs/>
                <w:sz w:val="24"/>
              </w:rPr>
            </w:pPr>
          </w:p>
        </w:tc>
        <w:tc>
          <w:tcPr>
            <w:tcW w:w="1620" w:type="dxa"/>
            <w:vAlign w:val="center"/>
          </w:tcPr>
          <w:p w14:paraId="1D7A7EC8" w14:textId="6B65BE6D" w:rsidR="0087479E" w:rsidRPr="000F1EC3" w:rsidRDefault="0087479E" w:rsidP="0081493C">
            <w:pPr>
              <w:spacing w:before="20" w:after="20"/>
              <w:jc w:val="center"/>
              <w:rPr>
                <w:rFonts w:ascii="Times New Roman" w:hAnsi="Times New Roman"/>
                <w:b/>
                <w:bCs/>
                <w:sz w:val="24"/>
              </w:rPr>
            </w:pPr>
            <w:r w:rsidRPr="000F1EC3">
              <w:rPr>
                <w:rFonts w:ascii="Times New Roman" w:hAnsi="Times New Roman"/>
                <w:b/>
                <w:bCs/>
                <w:sz w:val="24"/>
              </w:rPr>
              <w:t>Sở Xây dựng Hưng Yên (văn bản số 2188/SXD-QLKCHT ngày 12/5/2026)</w:t>
            </w:r>
          </w:p>
        </w:tc>
        <w:tc>
          <w:tcPr>
            <w:tcW w:w="8872" w:type="dxa"/>
            <w:vAlign w:val="center"/>
          </w:tcPr>
          <w:p w14:paraId="08D210DC" w14:textId="77777777" w:rsidR="0087479E" w:rsidRPr="000F1EC3" w:rsidRDefault="0087479E" w:rsidP="0081493C">
            <w:pPr>
              <w:spacing w:before="20" w:after="20"/>
              <w:jc w:val="both"/>
              <w:rPr>
                <w:rFonts w:ascii="Times New Roman" w:hAnsi="Times New Roman"/>
                <w:sz w:val="24"/>
              </w:rPr>
            </w:pPr>
            <w:r w:rsidRPr="000F1EC3">
              <w:rPr>
                <w:rFonts w:ascii="Times New Roman" w:hAnsi="Times New Roman"/>
                <w:sz w:val="24"/>
              </w:rPr>
              <w:t>- Đề nghị xem xét lựa chọn phương án 1 do việc lựa chọn vị trí có điều kiện tự nhiên phù hợp là yếu tố có ý nghĩa quan trọng trong xây dựng cảng, bến thủy nội địa;</w:t>
            </w:r>
          </w:p>
          <w:p w14:paraId="7F5E8157" w14:textId="7DDD77CC" w:rsidR="0087479E" w:rsidRPr="000F1EC3" w:rsidRDefault="0087479E" w:rsidP="0081493C">
            <w:pPr>
              <w:spacing w:before="20" w:after="20"/>
              <w:jc w:val="both"/>
              <w:rPr>
                <w:rFonts w:ascii="Times New Roman" w:hAnsi="Times New Roman"/>
                <w:sz w:val="24"/>
              </w:rPr>
            </w:pPr>
            <w:r w:rsidRPr="000F1EC3">
              <w:rPr>
                <w:rFonts w:ascii="Times New Roman" w:hAnsi="Times New Roman"/>
                <w:sz w:val="24"/>
              </w:rPr>
              <w:t xml:space="preserve"> - Đề nghị xem xét điều chỉnh tăng trọng tải phương tiện tiếp nhận đối với bến thuỷ nội địa</w:t>
            </w:r>
          </w:p>
        </w:tc>
        <w:tc>
          <w:tcPr>
            <w:tcW w:w="2793" w:type="dxa"/>
            <w:vAlign w:val="center"/>
          </w:tcPr>
          <w:p w14:paraId="6794D9C5" w14:textId="0DDF0009" w:rsidR="0087479E" w:rsidRPr="000F1EC3" w:rsidRDefault="0087479E" w:rsidP="0081493C">
            <w:pPr>
              <w:spacing w:before="20" w:after="20"/>
              <w:jc w:val="both"/>
              <w:rPr>
                <w:rFonts w:ascii="Times New Roman" w:hAnsi="Times New Roman"/>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39FCD16C" w14:textId="77777777" w:rsidTr="001B580E">
        <w:trPr>
          <w:gridAfter w:val="1"/>
          <w:wAfter w:w="8" w:type="dxa"/>
        </w:trPr>
        <w:tc>
          <w:tcPr>
            <w:tcW w:w="914" w:type="dxa"/>
            <w:vAlign w:val="center"/>
          </w:tcPr>
          <w:p w14:paraId="00FADAD5"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32A9C026"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353D3012"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Quảng Trị (văn bản số 74/DBQH-CTQH ngày 11/5/2026)</w:t>
            </w:r>
          </w:p>
        </w:tc>
        <w:tc>
          <w:tcPr>
            <w:tcW w:w="8872" w:type="dxa"/>
            <w:vAlign w:val="center"/>
          </w:tcPr>
          <w:p w14:paraId="076A05B6"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Đoàn ĐBQH tỉnh Quảng Trị lựa chọn PA1. Đây là PA có ưu thế nhằm thiết lập một ngưỡng kỹ thuật định lượng cụ thể (tải trọng từ 500 tấn hoặc sức chứa từ 70 hành khách trở lên) để phân định rõ ràng ranh giới pháp lý giữa “Cảng” và “Bến”, tạo cơ sở khoa học cho cơ quan quản lý ban hành các tiêu chuẩn kỹ thuật và danh mục quản lý tương ứng với quy mô khai thác, tránh tình trạng cào bằng trong quản trị hạ tầng.</w:t>
            </w:r>
          </w:p>
        </w:tc>
        <w:tc>
          <w:tcPr>
            <w:tcW w:w="2793" w:type="dxa"/>
          </w:tcPr>
          <w:p w14:paraId="0969C6D0" w14:textId="4155CF26"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5261542" w14:textId="77777777" w:rsidTr="001B580E">
        <w:trPr>
          <w:gridAfter w:val="1"/>
          <w:wAfter w:w="8" w:type="dxa"/>
        </w:trPr>
        <w:tc>
          <w:tcPr>
            <w:tcW w:w="914" w:type="dxa"/>
            <w:vAlign w:val="center"/>
          </w:tcPr>
          <w:p w14:paraId="32FAF2BD"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603F1E5D"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707CD097"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UBND TP Hải Phòng (văn bản số 895/UBND-XDCT ngày 12/5/2026)</w:t>
            </w:r>
          </w:p>
        </w:tc>
        <w:tc>
          <w:tcPr>
            <w:tcW w:w="8872" w:type="dxa"/>
            <w:vAlign w:val="center"/>
          </w:tcPr>
          <w:p w14:paraId="7F5B25E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 Đề xuất lựa chọn phương án 2, tránh quy định chi tiết các nội dung về xác định quy mô tiếp nhận cỡ tàu trong dự thảo Bộ Luật để hạn chế phải sửa đổi Bộ Luật khi gặp các khó khăn vướng mắc trong quá trình triển khai thực hiện. </w:t>
            </w:r>
          </w:p>
          <w:p w14:paraId="66C9918A"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 Đề nghị bỏ quy định tại khoản 2 Điều này theo Phương án 2 dự thảo “Các tổ chức, cá nhân tham gia hoạt động kinh doanh vận tải thủy không được xếp dỡ hàng hóa, hành khách tại cảng, bến thủy nội địa chưa được cấp phép hoạt động” do quy định này đã được quy định tại khoản 4 Điều 11 “Các hành vi bị nghiêm cấm trong hoạt động hàng hải, đường thủy nội địa”. </w:t>
            </w:r>
          </w:p>
          <w:p w14:paraId="5DE142C2"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Bổ sung quy định giao Chính phủ quy định chi tiết khoản 1 Điều này.</w:t>
            </w:r>
          </w:p>
        </w:tc>
        <w:tc>
          <w:tcPr>
            <w:tcW w:w="2793" w:type="dxa"/>
          </w:tcPr>
          <w:p w14:paraId="25CAEE56" w14:textId="13F8B5C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1B837B2" w14:textId="77777777" w:rsidTr="001B580E">
        <w:trPr>
          <w:gridAfter w:val="1"/>
          <w:wAfter w:w="8" w:type="dxa"/>
        </w:trPr>
        <w:tc>
          <w:tcPr>
            <w:tcW w:w="914" w:type="dxa"/>
            <w:vAlign w:val="center"/>
          </w:tcPr>
          <w:p w14:paraId="510A71C6"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18BB88E2"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6D7EF24F"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Trường ĐHGTVT TP HCM (văn bản số 260511-02/CV-UTH-MLP ngày 11/5/2026)</w:t>
            </w:r>
          </w:p>
        </w:tc>
        <w:tc>
          <w:tcPr>
            <w:tcW w:w="8872" w:type="dxa"/>
            <w:vAlign w:val="center"/>
          </w:tcPr>
          <w:p w14:paraId="3A22A0FC"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Cần lựa chọn Phương án 2 đối với các quy định về cảng, bến thủy nội địa tại Điều 24, Điều 25, Điều 26, Điều 27 và Điều 28 của Dự thảo. Bởi Phương án 2 tiếp cận theo mô hình quản lý kết cấu hạ tầng và chức năng khai thác cảng tương đồng với quy định đối với cảng biển trong Bộ luật, bảo đảm tính thống nhất trong kỹ thuật lập pháp và thuận lợi cho quản lý hệ thống logistics tích hợp giữa cảng biển, cảng thủy nội địa, ICD và vận tải đa phương thức. So với Phương án 1, Phương án 2 có nhiều ưu điểm hơn, cụ thể: Không xác định cảng thủy nội địa chủ yếu dựa trên tiêu chí số lượng cầu cảng, qua đó tránh tình trạng cứng hóa tiêu chí pháp lý đối với mô hình cảng, bến; Phù hợp thực tiễn khai thác hiện nay khi nhiều cảng thủy nội địa có quy mô linh hoạt, phát triển theo nhu cầu logistics và chuỗi cung ứng; Tạo điều kiện thuận lợi cho việc hình thành mô hình cảng tích hợp, cảng logistics và trung tâm trung chuyển hàng hóa kết nối với cảng biển; Bảo đảm khả năng kết nối vận tải đa phương thức giữa đường thủy nội địa với đường biển, đường bộ, đường sắt và cảng cạn (ICD); Phủ </w:t>
            </w:r>
            <w:r w:rsidRPr="000F1EC3">
              <w:rPr>
                <w:rFonts w:ascii="Times New Roman" w:hAnsi="Times New Roman"/>
                <w:sz w:val="24"/>
              </w:rPr>
              <w:lastRenderedPageBreak/>
              <w:t>hợp xu hướng quản lý hiện đại theo chức năng khai thác, công nghệ vận hành và hiệu quả logistics thay vì chỉ dựa vào quy mô công trình; Thuận lợi cho việc xã hội hóa đầu tư, thu hút doanh nghiệp đầu tư phát triển cảng thủy nội địa theo hướng xanh, thông minh và hiện đại. Trong khi đó, Phương án 1 quy định cảng thủy nội địa phải có từ 02 cầu cảng trở lên là tiêu chí mang tính cơ học, chưa phản ánh đầy đủ bản chất khai thác cảng và có thể dẫn đến hạn chế tính linh hoạt trong đầu tư, tổ chức khai thác và quản lý hoạt động cảng thủy nội địa trên thực tế."</w:t>
            </w:r>
          </w:p>
        </w:tc>
        <w:tc>
          <w:tcPr>
            <w:tcW w:w="2793" w:type="dxa"/>
          </w:tcPr>
          <w:p w14:paraId="5D86A6C2" w14:textId="46C65050"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A7144C1" w14:textId="77777777" w:rsidTr="001B580E">
        <w:trPr>
          <w:gridAfter w:val="1"/>
          <w:wAfter w:w="8" w:type="dxa"/>
        </w:trPr>
        <w:tc>
          <w:tcPr>
            <w:tcW w:w="914" w:type="dxa"/>
            <w:vAlign w:val="center"/>
          </w:tcPr>
          <w:p w14:paraId="633D6B9F"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4656A94C"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05A9B017"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Gia Lai (văn bản số 3648/SXD-GT ngày 11/5/2026)</w:t>
            </w:r>
          </w:p>
        </w:tc>
        <w:tc>
          <w:tcPr>
            <w:tcW w:w="8872" w:type="dxa"/>
            <w:vAlign w:val="center"/>
          </w:tcPr>
          <w:p w14:paraId="59D50FE9"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Phương án 1 (không nêu lý do)</w:t>
            </w:r>
          </w:p>
        </w:tc>
        <w:tc>
          <w:tcPr>
            <w:tcW w:w="2793" w:type="dxa"/>
          </w:tcPr>
          <w:p w14:paraId="5DD04844" w14:textId="4103F1F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4DB4D5B" w14:textId="77777777" w:rsidTr="001B580E">
        <w:trPr>
          <w:gridAfter w:val="1"/>
          <w:wAfter w:w="8" w:type="dxa"/>
        </w:trPr>
        <w:tc>
          <w:tcPr>
            <w:tcW w:w="914" w:type="dxa"/>
            <w:vAlign w:val="center"/>
          </w:tcPr>
          <w:p w14:paraId="066750BF"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44915E71"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17E0F197"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Hà Tĩnh (văn bản số 2546/SXD-QLVT ngày 11/5/2026)</w:t>
            </w:r>
          </w:p>
        </w:tc>
        <w:tc>
          <w:tcPr>
            <w:tcW w:w="8872" w:type="dxa"/>
            <w:vAlign w:val="center"/>
          </w:tcPr>
          <w:p w14:paraId="2BA0EDD9"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Chọn phương án 2 (không nêu lý do)</w:t>
            </w:r>
          </w:p>
        </w:tc>
        <w:tc>
          <w:tcPr>
            <w:tcW w:w="2793" w:type="dxa"/>
          </w:tcPr>
          <w:p w14:paraId="57D155F4" w14:textId="0F7E0849"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27F1B1F" w14:textId="77777777" w:rsidTr="001B580E">
        <w:trPr>
          <w:gridAfter w:val="1"/>
          <w:wAfter w:w="8" w:type="dxa"/>
        </w:trPr>
        <w:tc>
          <w:tcPr>
            <w:tcW w:w="914" w:type="dxa"/>
            <w:vAlign w:val="center"/>
          </w:tcPr>
          <w:p w14:paraId="3C335C1F" w14:textId="77777777" w:rsidR="0081493C" w:rsidRPr="000F1EC3" w:rsidRDefault="0081493C" w:rsidP="0081493C">
            <w:pPr>
              <w:spacing w:before="20" w:after="20"/>
              <w:jc w:val="center"/>
              <w:rPr>
                <w:rFonts w:ascii="Times New Roman" w:hAnsi="Times New Roman"/>
                <w:b/>
                <w:bCs/>
                <w:sz w:val="24"/>
              </w:rPr>
            </w:pPr>
          </w:p>
        </w:tc>
        <w:tc>
          <w:tcPr>
            <w:tcW w:w="992" w:type="dxa"/>
            <w:vMerge/>
            <w:vAlign w:val="center"/>
          </w:tcPr>
          <w:p w14:paraId="1961F6B8"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E42A212"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 xml:space="preserve">Đoàn ĐHQH Lào Cai (văn bản số 24-BC/DBQH </w:t>
            </w:r>
            <w:r w:rsidRPr="000F1EC3">
              <w:rPr>
                <w:rFonts w:ascii="Times New Roman" w:hAnsi="Times New Roman"/>
                <w:b/>
                <w:bCs/>
                <w:sz w:val="24"/>
              </w:rPr>
              <w:lastRenderedPageBreak/>
              <w:t>ngày 11/5/2026)</w:t>
            </w:r>
          </w:p>
        </w:tc>
        <w:tc>
          <w:tcPr>
            <w:tcW w:w="8872" w:type="dxa"/>
            <w:vAlign w:val="center"/>
          </w:tcPr>
          <w:p w14:paraId="3D50735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 xml:space="preserve">Đề nghị lựa chọn PA 1 nhưng không nên giữ nguyên các ngưỡng cứng quy định “500 tấn” và “70 khách”. Lý do: Quy định phân loại cảng, bến thủy nội địa như phương án 1 đã tách bạch được bến khách ngang sông, bến hàng hóa, bến hành khách, bến chuyên dùng; đây là điều rất cần thiết cho các địa phương như tỉnh miền núi vì nhu cầu dân sinh và nhu cầu vận tải còn nhỏ lẻ. Tuy nhiên, nếu giữ ngưỡng cứng 500 tấn hoặc 70 khách như tại khoản 1 và </w:t>
            </w:r>
            <w:r w:rsidRPr="000F1EC3">
              <w:rPr>
                <w:rFonts w:ascii="Times New Roman" w:hAnsi="Times New Roman"/>
                <w:sz w:val="24"/>
              </w:rPr>
              <w:lastRenderedPageBreak/>
              <w:t>khoản 2 thì nhiều điểm ở các tỉnh miền núi sẽ khó đáp ứng được. Đề nghị cơ quan soạn thảo cần nghiên cứu, sửa đổi sửa theo hướng phân loại cảng, bến có khả năng tiếp nhận phương tiện theo cấp kỹ thuật tuyến, vùng hoạt động và quy chuẩn kỹ thuật, cách quy định này tránh được bất cập do khác biệt giữa các sông ở vùng đồng bằng và các sông ở miền núi.</w:t>
            </w:r>
          </w:p>
        </w:tc>
        <w:tc>
          <w:tcPr>
            <w:tcW w:w="2793" w:type="dxa"/>
          </w:tcPr>
          <w:p w14:paraId="5265B289" w14:textId="711096A2"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 xml:space="preserve">Đối với các Điều, khoản đề xuất 02 phương án tại Chương II dự thảo xin ý kiến, cơ quan chủ trì soạn thảo đã thực hiện rà soát, </w:t>
            </w:r>
            <w:r w:rsidRPr="000F1EC3">
              <w:rPr>
                <w:rFonts w:ascii="Times New Roman" w:hAnsi="Times New Roman"/>
                <w:sz w:val="24"/>
              </w:rPr>
              <w:lastRenderedPageBreak/>
              <w:t>chỉnh sửa theo hướng sửa đổi, bổ sung các quy định chỉ mang tính nguyên tắc, các nội dung chi tiết được chuyển quy định tại văn bản hướng dẫn thi hành.</w:t>
            </w:r>
          </w:p>
        </w:tc>
      </w:tr>
      <w:tr w:rsidR="0081493C" w:rsidRPr="000F1EC3" w14:paraId="7F5DBA0B" w14:textId="77777777" w:rsidTr="001B580E">
        <w:trPr>
          <w:gridAfter w:val="1"/>
          <w:wAfter w:w="8" w:type="dxa"/>
        </w:trPr>
        <w:tc>
          <w:tcPr>
            <w:tcW w:w="914" w:type="dxa"/>
            <w:vAlign w:val="center"/>
          </w:tcPr>
          <w:p w14:paraId="29E17CBA"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4A7AA8B6"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5EA73059"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4EF6A531"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672C20F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chọn Phương án 1, lý do: Phương án 1 phân loại rõ giữa cảng thủy nội địa và bến thủy nội địa theo cả công năng khai thác và quy mô tiếp nhận phương tiện</w:t>
            </w:r>
          </w:p>
        </w:tc>
        <w:tc>
          <w:tcPr>
            <w:tcW w:w="2793" w:type="dxa"/>
          </w:tcPr>
          <w:p w14:paraId="22FA8219" w14:textId="730E5B84"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6A50DCC0" w14:textId="77777777" w:rsidTr="001B580E">
        <w:trPr>
          <w:gridAfter w:val="1"/>
          <w:wAfter w:w="8" w:type="dxa"/>
        </w:trPr>
        <w:tc>
          <w:tcPr>
            <w:tcW w:w="914" w:type="dxa"/>
            <w:vAlign w:val="center"/>
          </w:tcPr>
          <w:p w14:paraId="49B72458" w14:textId="77777777" w:rsidR="0081493C" w:rsidRPr="000F1EC3" w:rsidRDefault="0081493C" w:rsidP="0081493C">
            <w:pPr>
              <w:spacing w:before="20" w:after="20"/>
              <w:jc w:val="center"/>
              <w:rPr>
                <w:rFonts w:ascii="Times New Roman" w:hAnsi="Times New Roman"/>
                <w:b/>
                <w:bCs/>
                <w:sz w:val="24"/>
              </w:rPr>
            </w:pPr>
          </w:p>
        </w:tc>
        <w:tc>
          <w:tcPr>
            <w:tcW w:w="992" w:type="dxa"/>
            <w:vAlign w:val="center"/>
          </w:tcPr>
          <w:p w14:paraId="11FA10A0" w14:textId="77777777" w:rsidR="0081493C" w:rsidRPr="000F1EC3" w:rsidRDefault="0081493C" w:rsidP="0081493C">
            <w:pPr>
              <w:spacing w:before="20" w:after="20"/>
              <w:jc w:val="center"/>
              <w:rPr>
                <w:rFonts w:ascii="Times New Roman" w:hAnsi="Times New Roman"/>
                <w:b/>
                <w:bCs/>
                <w:sz w:val="24"/>
              </w:rPr>
            </w:pPr>
          </w:p>
        </w:tc>
        <w:tc>
          <w:tcPr>
            <w:tcW w:w="1620" w:type="dxa"/>
            <w:vAlign w:val="center"/>
          </w:tcPr>
          <w:p w14:paraId="415C76A2"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ĐBQH Thanh Hóa (văn bản số 69/BC-ĐBQH ngày 8/5/2026)</w:t>
            </w:r>
          </w:p>
        </w:tc>
        <w:tc>
          <w:tcPr>
            <w:tcW w:w="8872" w:type="dxa"/>
            <w:vAlign w:val="center"/>
          </w:tcPr>
          <w:p w14:paraId="133FFAA6"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2 vì phương án này phân loại cảng, bến thủy nội địa theo công năng khai thác, phù hợp thực tiễn quản lý, khai thác hạ tầng logistics và bảo đảm tính ổn định của Bộ luật. Đồng thời, việc quy định cứng tiêu chí tải trọng phương tiện hoặc số lượng hành khách trong luật như phương án 1 có thể làm giảm tính linh hoạt và dễ phát sinh yêu cầu sửa đổi khi điều kiện khai thác, phương tiện vận tải thay đổi.</w:t>
            </w:r>
          </w:p>
        </w:tc>
        <w:tc>
          <w:tcPr>
            <w:tcW w:w="2793" w:type="dxa"/>
          </w:tcPr>
          <w:p w14:paraId="187F64F5" w14:textId="08D9BF55"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50DDF131" w14:textId="77777777" w:rsidTr="001B580E">
        <w:trPr>
          <w:gridAfter w:val="1"/>
          <w:wAfter w:w="8" w:type="dxa"/>
        </w:trPr>
        <w:tc>
          <w:tcPr>
            <w:tcW w:w="914" w:type="dxa"/>
            <w:vAlign w:val="center"/>
          </w:tcPr>
          <w:p w14:paraId="3B31921C"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77BF0646"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28</w:t>
            </w:r>
          </w:p>
        </w:tc>
        <w:tc>
          <w:tcPr>
            <w:tcW w:w="1620" w:type="dxa"/>
            <w:vAlign w:val="center"/>
          </w:tcPr>
          <w:p w14:paraId="76609DE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Lai Châu</w:t>
            </w:r>
          </w:p>
          <w:p w14:paraId="73972F30"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(Văn bản số 2228/SXD-</w:t>
            </w:r>
          </w:p>
        </w:tc>
        <w:tc>
          <w:tcPr>
            <w:tcW w:w="8872" w:type="dxa"/>
            <w:vAlign w:val="center"/>
          </w:tcPr>
          <w:p w14:paraId="09FA3728"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sz w:val="24"/>
              </w:rPr>
              <w:t>Đối với Điều 28 về nguyên tắc đặt tên, đổi tên cảng, bến thủy nội địa: Kiến nghị lựa chọn phương án 1, phương án này cho phép đặt tên riêng linh hoạt khi lập quy hoạch, việc bắt buộc đặt tên theo tên tỉnh gây trùng lặp và khó phân biệt khi trên địa bàn tỉnh có nhiều cảng, bến thủy nội địa dọc các tuyến sông, lòng hồ.</w:t>
            </w:r>
          </w:p>
        </w:tc>
        <w:tc>
          <w:tcPr>
            <w:tcW w:w="2793" w:type="dxa"/>
            <w:vAlign w:val="center"/>
          </w:tcPr>
          <w:p w14:paraId="5F22B09A" w14:textId="303DF53D" w:rsidR="005E54B6" w:rsidRPr="000F1EC3" w:rsidRDefault="0081493C" w:rsidP="005E54B6">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w:t>
            </w:r>
            <w:r w:rsidRPr="000F1EC3">
              <w:rPr>
                <w:rFonts w:ascii="Times New Roman" w:hAnsi="Times New Roman"/>
                <w:sz w:val="24"/>
              </w:rPr>
              <w:lastRenderedPageBreak/>
              <w:t>đổi, bổ sung các quy định chỉ mang tính nguyên tắc, các nội dung chi tiết được chuyển quy định tại văn bản hướng dẫn thi hành.</w:t>
            </w:r>
          </w:p>
        </w:tc>
      </w:tr>
      <w:tr w:rsidR="0081493C" w:rsidRPr="000F1EC3" w14:paraId="411C68E1" w14:textId="77777777" w:rsidTr="001B580E">
        <w:trPr>
          <w:gridAfter w:val="1"/>
          <w:wAfter w:w="8" w:type="dxa"/>
        </w:trPr>
        <w:tc>
          <w:tcPr>
            <w:tcW w:w="914" w:type="dxa"/>
            <w:vAlign w:val="center"/>
          </w:tcPr>
          <w:p w14:paraId="6D7AB832"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17F93660"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4EA7BD0B"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UBND TP Hải Phòng (văn bản số 895/UBND-XDCT ngày 12/5/2026)</w:t>
            </w:r>
          </w:p>
        </w:tc>
        <w:tc>
          <w:tcPr>
            <w:tcW w:w="8872" w:type="dxa"/>
            <w:vAlign w:val="center"/>
          </w:tcPr>
          <w:p w14:paraId="140C235E"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lựa chọn quy định theo phương án 1 đồng thời gộp Điều 29 vào Điều này để thuận tiện cho theo dõi và triển khai thực hiện.</w:t>
            </w:r>
          </w:p>
        </w:tc>
        <w:tc>
          <w:tcPr>
            <w:tcW w:w="2793" w:type="dxa"/>
          </w:tcPr>
          <w:p w14:paraId="30B594DB" w14:textId="3FFB762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CA61C2C" w14:textId="77777777" w:rsidTr="001B580E">
        <w:trPr>
          <w:gridAfter w:val="1"/>
          <w:wAfter w:w="8" w:type="dxa"/>
        </w:trPr>
        <w:tc>
          <w:tcPr>
            <w:tcW w:w="914" w:type="dxa"/>
            <w:vAlign w:val="center"/>
          </w:tcPr>
          <w:p w14:paraId="79F058FA"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1492557A"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4CE5D71A"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2879D99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pacing w:val="-2"/>
                <w:sz w:val="24"/>
              </w:rPr>
              <w:t xml:space="preserve">Bộ Nông nghiệp và Môi trường lựa chọn phương án 1 tại các Điều 24, 25, 26, 27, 28 được xây dựng có nội dung phù hợp và được đánh giá sâu hơn phương án 2. </w:t>
            </w:r>
          </w:p>
        </w:tc>
        <w:tc>
          <w:tcPr>
            <w:tcW w:w="2793" w:type="dxa"/>
          </w:tcPr>
          <w:p w14:paraId="659E155A" w14:textId="2CF19D4D"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8986787" w14:textId="77777777" w:rsidTr="001B580E">
        <w:trPr>
          <w:gridAfter w:val="1"/>
          <w:wAfter w:w="8" w:type="dxa"/>
        </w:trPr>
        <w:tc>
          <w:tcPr>
            <w:tcW w:w="914" w:type="dxa"/>
            <w:vAlign w:val="center"/>
          </w:tcPr>
          <w:p w14:paraId="0B93B534"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3C9B510D"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2D812C4D"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Thanh Hóa (văn bản số 69/BC-ĐBQH ngày 8/5/2026)</w:t>
            </w:r>
          </w:p>
        </w:tc>
        <w:tc>
          <w:tcPr>
            <w:tcW w:w="8872" w:type="dxa"/>
            <w:vAlign w:val="center"/>
          </w:tcPr>
          <w:p w14:paraId="4F8D51E0"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1 vì phương án này quy định theo hướng khái quát, bảo đảm tính ổn định và phù hợp kỹ thuật lập pháp đối với quy định về nguyên tắc đặt tên, đổi tên cảng, bến thủy nội địa; đồng thời tạo sự linh hoạt trong thực tiễn quản lý, khai thác và phát triển hệ thống cảng, bến thủy nội địa hiện nay. Việc quy định cứng nguyên tắc đặt tên cảng thủy nội địa theo tỉnh, thành phố như phương án 2 có thể chưa phù hợp với thực tiễn phát triển các cảng chuyên dùng, cảng logistics, cảng gắn với khu công nghiệp, khu kinh tế hoặc mô hình khai thác thương mại hiện nay</w:t>
            </w:r>
          </w:p>
        </w:tc>
        <w:tc>
          <w:tcPr>
            <w:tcW w:w="2793" w:type="dxa"/>
          </w:tcPr>
          <w:p w14:paraId="7B8AD849" w14:textId="4C2C5D9A"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w:t>
            </w:r>
            <w:r w:rsidRPr="000F1EC3">
              <w:rPr>
                <w:rFonts w:ascii="Times New Roman" w:hAnsi="Times New Roman"/>
                <w:sz w:val="24"/>
              </w:rPr>
              <w:lastRenderedPageBreak/>
              <w:t>chỉ mang tính nguyên tắc, các nội dung chi tiết được chuyển quy định tại văn bản hướng dẫn thi hành.</w:t>
            </w:r>
          </w:p>
        </w:tc>
      </w:tr>
      <w:tr w:rsidR="0081493C" w:rsidRPr="000F1EC3" w14:paraId="2E5EACD7" w14:textId="77777777" w:rsidTr="001B580E">
        <w:trPr>
          <w:gridAfter w:val="1"/>
          <w:wAfter w:w="8" w:type="dxa"/>
        </w:trPr>
        <w:tc>
          <w:tcPr>
            <w:tcW w:w="914" w:type="dxa"/>
            <w:vAlign w:val="center"/>
          </w:tcPr>
          <w:p w14:paraId="29C85506"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05729CC0"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18F435DD"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6BC31708"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1</w:t>
            </w:r>
          </w:p>
          <w:p w14:paraId="36576D2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Lý do: các quy định trong phương án 1 là rõ ràng, không gây trùng lặp hay nhầm lẫn cũng như đảm bảo tính trang trọng đối với tên các cơ quan nhà nước, đơn vị lực lượng vũ trang, tên của tổ chức chính trị, tổ chức chính trị - xã hội.</w:t>
            </w:r>
          </w:p>
        </w:tc>
        <w:tc>
          <w:tcPr>
            <w:tcW w:w="2793" w:type="dxa"/>
          </w:tcPr>
          <w:p w14:paraId="5302D2D2" w14:textId="3E0F39C4"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A38C356" w14:textId="77777777" w:rsidTr="001B580E">
        <w:trPr>
          <w:gridAfter w:val="1"/>
          <w:wAfter w:w="8" w:type="dxa"/>
        </w:trPr>
        <w:tc>
          <w:tcPr>
            <w:tcW w:w="914" w:type="dxa"/>
            <w:vAlign w:val="center"/>
          </w:tcPr>
          <w:p w14:paraId="011972D3"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4856BD67"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42ACED77"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ĐBQH Điện Biên (văn bản số 75/DBQH-VP ngày 13/5/2026)</w:t>
            </w:r>
          </w:p>
        </w:tc>
        <w:tc>
          <w:tcPr>
            <w:tcW w:w="8872" w:type="dxa"/>
            <w:vAlign w:val="center"/>
          </w:tcPr>
          <w:p w14:paraId="7F1EB363"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theo Phương án 2 vì quy định cụ thể, đầy đủ hơn về nguyên tắc đặt tên cảng, bến thủy nội địa và khu neo đậu; đồng thời phân định rõ thời điểm, căn cứ đặt tên đối với từng loại công trình, bảo đảm thuận lợi cho công tác quy hoạch, đầu tư xây dựng, công bố và quản lý trong thực tiễn.</w:t>
            </w:r>
          </w:p>
        </w:tc>
        <w:tc>
          <w:tcPr>
            <w:tcW w:w="2793" w:type="dxa"/>
          </w:tcPr>
          <w:p w14:paraId="57D4CFE7" w14:textId="6927E520"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E3A461F" w14:textId="77777777" w:rsidTr="001B580E">
        <w:trPr>
          <w:gridAfter w:val="1"/>
          <w:wAfter w:w="8" w:type="dxa"/>
        </w:trPr>
        <w:tc>
          <w:tcPr>
            <w:tcW w:w="914" w:type="dxa"/>
            <w:vAlign w:val="center"/>
          </w:tcPr>
          <w:p w14:paraId="0EAA7BBC"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3D598555"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2E5CE3E6"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3C9FB61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Định nghĩa, tiêu chí xác định, chức năng, phân loại, nguyên tắc đặt tên, đổi tên Cảng, bến thủy nội địa: </w:t>
            </w:r>
          </w:p>
          <w:p w14:paraId="561A3BEB"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Đề xuất: Lựa chọn PA2 phù hợp hơn với định hướng vận tải thủy kết hợp logistics, cång/bến chuyên dùng gắn với khu công nghiệp và mô hình giao thoa biển - sông mà Tờ trình đã nêu là bất cập thực tiễn cần xử lý. </w:t>
            </w:r>
          </w:p>
          <w:p w14:paraId="477987DA"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Ví dụ tại Điều 27 - Phân loại cảng, bến thủy nội địa, tại PA1: “Bến thủy nội địa gồm bến tổng hợp, bến hàng hóa, bến hành khách, bến chuyên dùng và bến khách ngang sông, có khả năng tiếp nhận phương tiện dưới 500 tấn hoặc phương tiện có sức chở dưới 70 khách”. </w:t>
            </w:r>
            <w:r w:rsidRPr="000F1EC3">
              <w:rPr>
                <w:rFonts w:ascii="Times New Roman" w:hAnsi="Times New Roman"/>
                <w:sz w:val="24"/>
              </w:rPr>
              <w:lastRenderedPageBreak/>
              <w:t>Tuy nhiên thực tế tại khu vực phía Bắc, có nhiều Bến thủy nội địa trong đó tại Công ty có Bến thủy nội địa Hóa chất bắc Mông Dương II có khả năng tiếp nhận phương tiện trên 5.000 tấn. Do vậy để phù hợp với thực tiễn, Công ty kiến nghị lựa chọn PA2 trong Dự thảo.</w:t>
            </w:r>
          </w:p>
        </w:tc>
        <w:tc>
          <w:tcPr>
            <w:tcW w:w="2793" w:type="dxa"/>
          </w:tcPr>
          <w:p w14:paraId="1C5D9C1A" w14:textId="3A8DDD0F"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w:t>
            </w:r>
            <w:r w:rsidRPr="000F1EC3">
              <w:rPr>
                <w:rFonts w:ascii="Times New Roman" w:hAnsi="Times New Roman"/>
                <w:sz w:val="24"/>
              </w:rPr>
              <w:lastRenderedPageBreak/>
              <w:t>các nội dung chi tiết được chuyển quy định tại văn bản hướng dẫn thi hành.</w:t>
            </w:r>
          </w:p>
        </w:tc>
      </w:tr>
      <w:tr w:rsidR="0081493C" w:rsidRPr="000F1EC3" w14:paraId="376E65A3" w14:textId="77777777" w:rsidTr="001B580E">
        <w:trPr>
          <w:gridAfter w:val="1"/>
          <w:wAfter w:w="8" w:type="dxa"/>
        </w:trPr>
        <w:tc>
          <w:tcPr>
            <w:tcW w:w="914" w:type="dxa"/>
            <w:vAlign w:val="center"/>
          </w:tcPr>
          <w:p w14:paraId="2CA0E157"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32F1846C"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7671F773"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Sở Xây dựng Khánh Hòa (văn bản số 4773/SXD-QLVT ngày 11/5/2026)</w:t>
            </w:r>
          </w:p>
        </w:tc>
        <w:tc>
          <w:tcPr>
            <w:tcW w:w="8872" w:type="dxa"/>
            <w:vAlign w:val="center"/>
          </w:tcPr>
          <w:p w14:paraId="0D2EFD4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PA 1. Tuy nhiên, để thống nhất giữa tên gọi của Điều và nội dung, đề nghị cơ quan soạn thảo bỏ nội dung “khu neo đậu” tại khoản 1.</w:t>
            </w:r>
          </w:p>
        </w:tc>
        <w:tc>
          <w:tcPr>
            <w:tcW w:w="2793" w:type="dxa"/>
          </w:tcPr>
          <w:p w14:paraId="5EB74211" w14:textId="1CCA6D16"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64CBB3F6" w14:textId="77777777" w:rsidTr="001B580E">
        <w:trPr>
          <w:gridAfter w:val="1"/>
          <w:wAfter w:w="8" w:type="dxa"/>
        </w:trPr>
        <w:tc>
          <w:tcPr>
            <w:tcW w:w="914" w:type="dxa"/>
            <w:vAlign w:val="center"/>
          </w:tcPr>
          <w:p w14:paraId="213DE16D"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5DFDE9D0"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70FFBAE2"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Vĩnh Long (văn bản số 3079/SXD-VTAT ngày 11/5/2026)</w:t>
            </w:r>
          </w:p>
        </w:tc>
        <w:tc>
          <w:tcPr>
            <w:tcW w:w="8872" w:type="dxa"/>
            <w:vAlign w:val="center"/>
          </w:tcPr>
          <w:p w14:paraId="1DB166A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2 (không nêu lý do)</w:t>
            </w:r>
          </w:p>
        </w:tc>
        <w:tc>
          <w:tcPr>
            <w:tcW w:w="2793" w:type="dxa"/>
          </w:tcPr>
          <w:p w14:paraId="39BB62D7" w14:textId="1CC7B744"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C182D4D" w14:textId="77777777" w:rsidTr="001B580E">
        <w:trPr>
          <w:gridAfter w:val="1"/>
          <w:wAfter w:w="8" w:type="dxa"/>
        </w:trPr>
        <w:tc>
          <w:tcPr>
            <w:tcW w:w="914" w:type="dxa"/>
            <w:vAlign w:val="center"/>
          </w:tcPr>
          <w:p w14:paraId="75C3C6BF"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72AC7A2E"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5DD82D05"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Gia Lai (văn bản số 3648/SXD-GT ngày 11/5/2026)</w:t>
            </w:r>
          </w:p>
        </w:tc>
        <w:tc>
          <w:tcPr>
            <w:tcW w:w="8872" w:type="dxa"/>
            <w:vAlign w:val="center"/>
          </w:tcPr>
          <w:p w14:paraId="494411D3"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Phương án 1 (không nêu lý do)</w:t>
            </w:r>
          </w:p>
        </w:tc>
        <w:tc>
          <w:tcPr>
            <w:tcW w:w="2793" w:type="dxa"/>
          </w:tcPr>
          <w:p w14:paraId="536CB2E7" w14:textId="34CE701D"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tc>
      </w:tr>
      <w:tr w:rsidR="0081493C" w:rsidRPr="000F1EC3" w14:paraId="7E6E5FE8" w14:textId="77777777" w:rsidTr="001B580E">
        <w:trPr>
          <w:gridAfter w:val="1"/>
          <w:wAfter w:w="8" w:type="dxa"/>
        </w:trPr>
        <w:tc>
          <w:tcPr>
            <w:tcW w:w="914" w:type="dxa"/>
            <w:vAlign w:val="center"/>
          </w:tcPr>
          <w:p w14:paraId="168E8D3C"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75CCFB5A"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53D3B39D"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ĐBQH Quảng Trị (văn bản số 74/DBQH-CTQH ngày 11/5/2026)</w:t>
            </w:r>
          </w:p>
        </w:tc>
        <w:tc>
          <w:tcPr>
            <w:tcW w:w="8872" w:type="dxa"/>
            <w:vAlign w:val="center"/>
          </w:tcPr>
          <w:p w14:paraId="7B9E7B0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Đoàn ĐBQH tỉnh Quảng Trị lựa chọn PA1. Lý do là vì, xét về tính hệ thống, việc quy định tên cảng theo địa danh hành chính cấp tỉnh ngay từ khâu quy hoạch và tên bến cảng theo dự án đầu tư sẽ bảo đảm sự đồng bộ tuyệt đối với nguyên tắc đặt tên cảng biển tại Điều 21. Quy định này không chỉ minh bạch hóa hệ thống thông tin hạ tầng, thể hiện tư duy quản lý thống nhất của một bộ luật hợp nhất mà còn loại bỏ các kẽ hở gây nhầm lẫn trên cùng địa bàn, tạo điều kiện nhận diện hạ tầng trong chuỗi logistics toàn cầu. Mặt khác, đây là sự kết hợp hài hòa giữa kỷ cương kỹ thuật và sự mạch lạc trong cấu trúc pháp lý nhằm khơi thông các “điểm nghẽn” quản lý hiện nay</w:t>
            </w:r>
          </w:p>
        </w:tc>
        <w:tc>
          <w:tcPr>
            <w:tcW w:w="2793" w:type="dxa"/>
          </w:tcPr>
          <w:p w14:paraId="09E3ACF1" w14:textId="6EAFDC2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4CC63CA" w14:textId="77777777" w:rsidTr="001B580E">
        <w:trPr>
          <w:gridAfter w:val="1"/>
          <w:wAfter w:w="8" w:type="dxa"/>
        </w:trPr>
        <w:tc>
          <w:tcPr>
            <w:tcW w:w="914" w:type="dxa"/>
            <w:vAlign w:val="center"/>
          </w:tcPr>
          <w:p w14:paraId="6B62369F"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31D66EF8"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0A6BE7A7"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Quảng Ngãi (văn bản số 3329/SXD-ATGT ngày 12/5/2026)</w:t>
            </w:r>
          </w:p>
        </w:tc>
        <w:tc>
          <w:tcPr>
            <w:tcW w:w="8872" w:type="dxa"/>
            <w:vAlign w:val="center"/>
          </w:tcPr>
          <w:p w14:paraId="68A2B70D"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Phương án 2, vì nội dung này quy định cụ thể hơn về căn cứ và nguyên tắc đặt tên đối với cảng, bến thủy nội địa.</w:t>
            </w:r>
          </w:p>
        </w:tc>
        <w:tc>
          <w:tcPr>
            <w:tcW w:w="2793" w:type="dxa"/>
          </w:tcPr>
          <w:p w14:paraId="45554F34" w14:textId="77859F28"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1E439BF" w14:textId="77777777" w:rsidTr="001B580E">
        <w:trPr>
          <w:gridAfter w:val="1"/>
          <w:wAfter w:w="8" w:type="dxa"/>
        </w:trPr>
        <w:tc>
          <w:tcPr>
            <w:tcW w:w="914" w:type="dxa"/>
            <w:vAlign w:val="center"/>
          </w:tcPr>
          <w:p w14:paraId="601D3DC8"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5CD8162B"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68D75AC4"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Trường ĐHGTVT TP HCM (văn bản số 260511-02/CV-UTH-MLP ngày 11/5/2026)</w:t>
            </w:r>
          </w:p>
        </w:tc>
        <w:tc>
          <w:tcPr>
            <w:tcW w:w="8872" w:type="dxa"/>
            <w:vAlign w:val="center"/>
          </w:tcPr>
          <w:p w14:paraId="28C207AB"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 xml:space="preserve">Cần lựa chọn Phương án 2 đối với các quy định về cảng, bến thủy nội địa tại Điều 24, Điều 25, Điều 26, Điều 27 và Điều 28 của Dự thảo. Bởi Phương án 2 tiếp cận theo mô hình quản lý kết cấu hạ tầng và chức năng khai thác cảng tương đồng với quy định đối với cảng biển trong Bộ luật, bảo đảm tính thống nhất trong kỹ thuật lập pháp và thuận lợi cho quản lý hệ thống logistics tích hợp giữa cảng biển, cảng thủy nội địa, ICD và vận tải đa phương thức. So với Phương án 1, Phương án 2 có nhiều ưu điểm hơn, cụ thể: Không xác định cảng thủy nội địa chủ yếu dựa trên tiêu chí số lượng cầu cảng, qua đó tránh tình trạng cứng hóa tiêu chí pháp lý đối với mô hình cảng, bến; Phù hợp thực tiễn khai thác hiện nay khi nhiều cảng thủy nội địa có quy mô linh hoạt, phát triển theo nhu cầu logistics và chuỗi cung ứng; Tạo điều kiện thuận lợi cho việc hình thành mô hình cảng tích hợp, cảng logistics và trung tâm </w:t>
            </w:r>
            <w:r w:rsidRPr="000F1EC3">
              <w:rPr>
                <w:rFonts w:ascii="Times New Roman" w:hAnsi="Times New Roman"/>
                <w:sz w:val="24"/>
              </w:rPr>
              <w:lastRenderedPageBreak/>
              <w:t>trung chuyển hàng hóa kết nối với cảng biển; Bảo đảm khả năng kết nối vận tải đa phương thức giữa đường thủy nội địa với đường biển, đường bộ, đường sắt và cảng cạn (ICD); Phủ hợp xu hướng quản lý hiện đại theo chức năng khai thác, công nghệ vận hành và hiệu quả logistics thay vì chỉ dựa vào quy mô công trình; Thuận lợi cho việc xã hội hóa đầu tư, thu hút doanh nghiệp đầu tư phát triển cảng thủy nội địa theo hướng xanh, thông minh và hiện đại. Trong khi đó, Phương án 1 quy định cảng thủy nội địa phải có từ 02 cầu cảng trở lên là tiêu chí mang tính cơ học, chưa phản ánh đầy đủ bản chất khai thác cảng và có thể dẫn đến hạn chế tính linh hoạt trong đầu tư, tổ chức khai thác và quản lý hoạt động cảng thủy nội địa trên thực tế."</w:t>
            </w:r>
          </w:p>
        </w:tc>
        <w:tc>
          <w:tcPr>
            <w:tcW w:w="2793" w:type="dxa"/>
          </w:tcPr>
          <w:p w14:paraId="36ACE544" w14:textId="5C37A868"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tc>
      </w:tr>
      <w:tr w:rsidR="0081493C" w:rsidRPr="000F1EC3" w14:paraId="0F10BEA8" w14:textId="77777777" w:rsidTr="001B580E">
        <w:trPr>
          <w:gridAfter w:val="1"/>
          <w:wAfter w:w="8" w:type="dxa"/>
        </w:trPr>
        <w:tc>
          <w:tcPr>
            <w:tcW w:w="914" w:type="dxa"/>
            <w:vAlign w:val="center"/>
          </w:tcPr>
          <w:p w14:paraId="4B881845"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3F17FEA3"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16907874"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Sở Xây dựng Hà Tĩnh (văn bản số 2546/SXD-QLVT ngày 11/5/2026)</w:t>
            </w:r>
          </w:p>
        </w:tc>
        <w:tc>
          <w:tcPr>
            <w:tcW w:w="8872" w:type="dxa"/>
            <w:vAlign w:val="center"/>
          </w:tcPr>
          <w:p w14:paraId="3F69A753"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Chọn phương án 2</w:t>
            </w:r>
          </w:p>
          <w:p w14:paraId="5344E2EF"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Lý do: Bảo đảm phù hợp với thực tế quản lý, khai thác cảng, bến thủy nội địa hiện nay và thuận lợi trong quá trình áp dụng sau này. Các phương án được chọn theo hướng quy định rõ ràng, dễ hiểu, dễ thực hiện, đồng thời làm rõ chức năng, vai trò của cảng, bến thủy nội địa trong hoạt động giao thông vận tải đường thủy tạo thuận lợi cho công tác quản lý nhà nước, thu hút đầu tư, phát triển dịch vụ logistics và kết nối vận tải. Thuận lợi hơn trong quá trình tổ chức thực hiện và điều chỉnh khi cần thiết, phù hợp với tình hình phát triển thực tế.</w:t>
            </w:r>
          </w:p>
        </w:tc>
        <w:tc>
          <w:tcPr>
            <w:tcW w:w="2793" w:type="dxa"/>
          </w:tcPr>
          <w:p w14:paraId="14C2C51E" w14:textId="35F010E8"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9F8D2E3" w14:textId="77777777" w:rsidTr="001B580E">
        <w:trPr>
          <w:gridAfter w:val="1"/>
          <w:wAfter w:w="8" w:type="dxa"/>
        </w:trPr>
        <w:tc>
          <w:tcPr>
            <w:tcW w:w="914" w:type="dxa"/>
            <w:vAlign w:val="center"/>
          </w:tcPr>
          <w:p w14:paraId="106EF3B3"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0B87C424"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727C4FB3"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Sở Xây dựng Hưng Yên (văn bản số 2188/SXD-QLKCHT ngày 12/5/2026)</w:t>
            </w:r>
          </w:p>
        </w:tc>
        <w:tc>
          <w:tcPr>
            <w:tcW w:w="8872" w:type="dxa"/>
            <w:vAlign w:val="center"/>
          </w:tcPr>
          <w:p w14:paraId="260A6FD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Chọn phương án 2 (không nêu lý do)</w:t>
            </w:r>
          </w:p>
        </w:tc>
        <w:tc>
          <w:tcPr>
            <w:tcW w:w="2793" w:type="dxa"/>
          </w:tcPr>
          <w:p w14:paraId="7970DDC5" w14:textId="55C55DA3"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B8D48E7" w14:textId="77777777" w:rsidTr="001B580E">
        <w:trPr>
          <w:gridAfter w:val="1"/>
          <w:wAfter w:w="8" w:type="dxa"/>
        </w:trPr>
        <w:tc>
          <w:tcPr>
            <w:tcW w:w="914" w:type="dxa"/>
            <w:vAlign w:val="center"/>
          </w:tcPr>
          <w:p w14:paraId="1CA17F34" w14:textId="77777777" w:rsidR="0081493C" w:rsidRPr="000F1EC3" w:rsidRDefault="0081493C" w:rsidP="0081493C">
            <w:pPr>
              <w:spacing w:before="20" w:after="20"/>
              <w:jc w:val="both"/>
              <w:rPr>
                <w:rFonts w:ascii="Times New Roman" w:hAnsi="Times New Roman"/>
                <w:b/>
                <w:bCs/>
                <w:sz w:val="24"/>
              </w:rPr>
            </w:pPr>
          </w:p>
        </w:tc>
        <w:tc>
          <w:tcPr>
            <w:tcW w:w="992" w:type="dxa"/>
            <w:vAlign w:val="center"/>
          </w:tcPr>
          <w:p w14:paraId="7A99A99B"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740C9697"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Đoàn ĐHQH Lào Cai (văn bản số 24-</w:t>
            </w:r>
            <w:r w:rsidRPr="000F1EC3">
              <w:rPr>
                <w:rFonts w:ascii="Times New Roman" w:hAnsi="Times New Roman"/>
                <w:b/>
                <w:bCs/>
                <w:sz w:val="24"/>
              </w:rPr>
              <w:lastRenderedPageBreak/>
              <w:t>BC/DBQH ngày 11/5/2026)</w:t>
            </w:r>
          </w:p>
        </w:tc>
        <w:tc>
          <w:tcPr>
            <w:tcW w:w="8872" w:type="dxa"/>
            <w:vAlign w:val="center"/>
          </w:tcPr>
          <w:p w14:paraId="21FA25A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lastRenderedPageBreak/>
              <w:t xml:space="preserve">Đề nghị lựa chọn PA 2. Lý do: Phương án 2 quy định nguyên tắc đặt tên, đổi tên cảng, bến thủy nội địa trên cơ sở phân biệt rõ hơn giữa tên cảng khi lập quy hoạch và tên bến, cầu cảng khi lập dự án đầu tư xây dựng; nguyên tắc này thuận lợi cho địa phương trong quản </w:t>
            </w:r>
            <w:r w:rsidRPr="000F1EC3">
              <w:rPr>
                <w:rFonts w:ascii="Times New Roman" w:hAnsi="Times New Roman"/>
                <w:sz w:val="24"/>
              </w:rPr>
              <w:lastRenderedPageBreak/>
              <w:t>lý hồ sơ, dữ liệu số và hạn chế nhầm lẫn giữa quy hoạch cấp tỉnh với từng điểm khai thác cụ thể. Trong điều kiện chuyển sang mô hình chính quyền địa phương hai cấp, việc phân định rõ ngay từ luật sẽ tốt hơn là để triển khai bằng nhiều văn bản hướng dẫn khác nhau.</w:t>
            </w:r>
          </w:p>
        </w:tc>
        <w:tc>
          <w:tcPr>
            <w:tcW w:w="2793" w:type="dxa"/>
          </w:tcPr>
          <w:p w14:paraId="148348D1" w14:textId="1A1091A0"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lastRenderedPageBreak/>
              <w:t xml:space="preserve">Đối với các Điều, khoản đề xuất 02 phương án tại Chương II dự thảo xin ý </w:t>
            </w:r>
            <w:r w:rsidRPr="000F1EC3">
              <w:rPr>
                <w:rFonts w:ascii="Times New Roman" w:hAnsi="Times New Roman"/>
                <w:sz w:val="24"/>
              </w:rPr>
              <w:lastRenderedPageBreak/>
              <w:t>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B8096A3" w14:textId="77777777" w:rsidTr="001B580E">
        <w:trPr>
          <w:gridAfter w:val="1"/>
          <w:wAfter w:w="8" w:type="dxa"/>
        </w:trPr>
        <w:tc>
          <w:tcPr>
            <w:tcW w:w="914" w:type="dxa"/>
            <w:vAlign w:val="center"/>
          </w:tcPr>
          <w:p w14:paraId="46328AA1" w14:textId="77777777" w:rsidR="0081493C" w:rsidRPr="000F1EC3" w:rsidRDefault="0081493C" w:rsidP="0081493C">
            <w:pPr>
              <w:spacing w:before="20" w:after="20"/>
              <w:jc w:val="both"/>
              <w:rPr>
                <w:rFonts w:ascii="Times New Roman" w:hAnsi="Times New Roman"/>
                <w:b/>
                <w:bCs/>
                <w:sz w:val="24"/>
              </w:rPr>
            </w:pPr>
          </w:p>
        </w:tc>
        <w:tc>
          <w:tcPr>
            <w:tcW w:w="992" w:type="dxa"/>
            <w:vAlign w:val="center"/>
          </w:tcPr>
          <w:p w14:paraId="1BFD0B9F"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55B39107"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64CF9135"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(Văn bản số 3107/BQP-PC ngày 11/5/2026)</w:t>
            </w:r>
          </w:p>
        </w:tc>
        <w:tc>
          <w:tcPr>
            <w:tcW w:w="8872" w:type="dxa"/>
            <w:vAlign w:val="center"/>
          </w:tcPr>
          <w:p w14:paraId="0A028C0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Phương án 1, lý do: Phương án 1 đưa ra các quy định đầy đủ, rõ ràng về nguyên tắc đưa tên, đổi tên cảng, bến thủy nội địa, bảo đảm không trùng lặp, nhầm lẫn</w:t>
            </w:r>
          </w:p>
        </w:tc>
        <w:tc>
          <w:tcPr>
            <w:tcW w:w="2793" w:type="dxa"/>
          </w:tcPr>
          <w:p w14:paraId="1EC29FFE" w14:textId="08AF6924"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395E0BD6" w14:textId="77777777" w:rsidTr="001B580E">
        <w:trPr>
          <w:gridAfter w:val="1"/>
          <w:wAfter w:w="8" w:type="dxa"/>
        </w:trPr>
        <w:tc>
          <w:tcPr>
            <w:tcW w:w="914" w:type="dxa"/>
            <w:vAlign w:val="center"/>
          </w:tcPr>
          <w:p w14:paraId="7F1FAA00"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7CC9CA71"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29</w:t>
            </w:r>
          </w:p>
        </w:tc>
        <w:tc>
          <w:tcPr>
            <w:tcW w:w="1620" w:type="dxa"/>
            <w:vAlign w:val="center"/>
          </w:tcPr>
          <w:p w14:paraId="64684869"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Sở Xây dựng Điện Biên (văn bản số 2247/SXD-QLVT&amp;ATGT ngày 11/5/2026)</w:t>
            </w:r>
          </w:p>
        </w:tc>
        <w:tc>
          <w:tcPr>
            <w:tcW w:w="8872" w:type="dxa"/>
            <w:vAlign w:val="center"/>
          </w:tcPr>
          <w:p w14:paraId="0FAECBA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Đối với khoản 2 Điều 29 Thẩm quyền đặt tên, đổi tên cảng, bến thủy nội địa; đề nghị cơ quan soạn thảo nghiên cứu quy định như sau để không chồng chéo về thẩm quyền “2. Tổ chức, cá nhân đầu tư, khai thác quyết định đặt tên, đổi tên bến thủy nội địa.”</w:t>
            </w:r>
          </w:p>
        </w:tc>
        <w:tc>
          <w:tcPr>
            <w:tcW w:w="2793" w:type="dxa"/>
            <w:vAlign w:val="center"/>
          </w:tcPr>
          <w:p w14:paraId="3FC666AF" w14:textId="28449329"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được điều chỉnh theo hướng giao Chính phủ quy định.</w:t>
            </w:r>
          </w:p>
        </w:tc>
      </w:tr>
      <w:tr w:rsidR="005E54B6" w:rsidRPr="000F1EC3" w14:paraId="5856173F" w14:textId="77777777" w:rsidTr="001B580E">
        <w:trPr>
          <w:gridAfter w:val="1"/>
          <w:wAfter w:w="8" w:type="dxa"/>
        </w:trPr>
        <w:tc>
          <w:tcPr>
            <w:tcW w:w="914" w:type="dxa"/>
            <w:vAlign w:val="center"/>
          </w:tcPr>
          <w:p w14:paraId="67F8D66C"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5046EA97"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32</w:t>
            </w:r>
          </w:p>
        </w:tc>
        <w:tc>
          <w:tcPr>
            <w:tcW w:w="1620" w:type="dxa"/>
            <w:vAlign w:val="center"/>
          </w:tcPr>
          <w:p w14:paraId="4BA2784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Cục Phát triển đô thị</w:t>
            </w:r>
          </w:p>
          <w:p w14:paraId="32ECF1F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531/PTĐT-TĐ ngày 08/5/2026)</w:t>
            </w:r>
          </w:p>
        </w:tc>
        <w:tc>
          <w:tcPr>
            <w:tcW w:w="8872" w:type="dxa"/>
            <w:vAlign w:val="center"/>
          </w:tcPr>
          <w:p w14:paraId="470B771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cơ quan soạn thảo bổ sung khái niệm đô thị vệ tinh hoặc thay thế bằng cụm từ khác trong nội dung về chức năng của cảng cạn quy định tại khoản 4</w:t>
            </w:r>
          </w:p>
        </w:tc>
        <w:tc>
          <w:tcPr>
            <w:tcW w:w="2793" w:type="dxa"/>
            <w:vAlign w:val="center"/>
          </w:tcPr>
          <w:p w14:paraId="1DE43F1E" w14:textId="3388946A"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được bãi bỏ trong dự thảo Bộ luật.</w:t>
            </w:r>
          </w:p>
        </w:tc>
      </w:tr>
      <w:tr w:rsidR="005E54B6" w:rsidRPr="000F1EC3" w14:paraId="641882E3" w14:textId="77777777" w:rsidTr="001B580E">
        <w:trPr>
          <w:gridAfter w:val="1"/>
          <w:wAfter w:w="8" w:type="dxa"/>
        </w:trPr>
        <w:tc>
          <w:tcPr>
            <w:tcW w:w="914" w:type="dxa"/>
            <w:vAlign w:val="center"/>
          </w:tcPr>
          <w:p w14:paraId="79C6B24F"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56B38C84"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41227BB2"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Lào Cai (văn bản số 2441/SXD-VTPTNL ngày 8/5/2026)</w:t>
            </w:r>
          </w:p>
        </w:tc>
        <w:tc>
          <w:tcPr>
            <w:tcW w:w="8872" w:type="dxa"/>
            <w:vAlign w:val="center"/>
          </w:tcPr>
          <w:p w14:paraId="62F02A0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1, Điều 32 đề nghị bổ sung như sau: “1. Vé, hợp đồng, danh sách hành khách lên phương tiện trong mỗi chuyến đi là căn cứ để giải quyết bảo hiểm cho hành khách khi có sự cố rủi ro; đối với vận tải hành khách ngang sông thì việc bồi thường được thực hiện theo hợp đồng bảo hiểm giữa người kinh doanh vận tải với người bảo hiểm.” Lý do: giao kết giữa chủ phương tiện và hành khách trong vận tải hành khách đường thủy được thực hiện thông qua hợp đồng hoặc vé.</w:t>
            </w:r>
          </w:p>
        </w:tc>
        <w:tc>
          <w:tcPr>
            <w:tcW w:w="2793" w:type="dxa"/>
            <w:vAlign w:val="center"/>
          </w:tcPr>
          <w:p w14:paraId="32899B53" w14:textId="64CB96B2"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đã được cụ thể hóa tại khoản 1 Điều 66 dự thảo.</w:t>
            </w:r>
          </w:p>
        </w:tc>
      </w:tr>
      <w:tr w:rsidR="005E54B6" w:rsidRPr="000F1EC3" w14:paraId="7D94EB7B" w14:textId="77777777" w:rsidTr="001B580E">
        <w:trPr>
          <w:gridAfter w:val="1"/>
          <w:wAfter w:w="8" w:type="dxa"/>
        </w:trPr>
        <w:tc>
          <w:tcPr>
            <w:tcW w:w="914" w:type="dxa"/>
            <w:vAlign w:val="center"/>
          </w:tcPr>
          <w:p w14:paraId="1B622019"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1E762C8F"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36983CB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095F3A3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4 dự thảo quy định: “Điều phối luồng hàng hóa, hỗ trợ giải tỏa áp lực hạ tầng giao thông và tình trạng ùn tắc tại hệ thống cảng biển; là động lực thúc đẩy hình thành các trung tâm phân phối, vùng công nghiệp và đô thị vệ tinh trong nội địa”. Tuy nhiên, cụm từ “là động lực thúc đẩy hình thành các trung tâm phân phối, vùng công nghiệp và đô thị vệ tinh trong nội địa” là nội dung mang tính định hướng phát triển kinh tế - xã hội, phản ánh vai trò tác động gián tiếp của cảng cạn hơn là chức năng pháp lý cụ thể. Đồng thời, quy định này còn mang tính khái quát, định tính, khó xác định giá trị áp dụng trên thực tế và chưa phù hợp với yêu cầu về tính rõ ràng, cụ thể của điều luật quy định chức năng. Do đó, đề nghị cân nhắc bỏ cụm từ nêu trên hoặc chuyển sang quy định tại điều khoản về chính sách phát triển cảng cạn, quy hoạch hệ thống logistics hoặc định hướng phát triển hạ tầng. Việc tách bạch giữa chức năng pháp lý và định hướng phát triển sẽ giúp điều luật bảo đảm tính chặt chẽ, rõ ràng và phù hợp hơn với kỹ thuật lập pháp</w:t>
            </w:r>
          </w:p>
        </w:tc>
        <w:tc>
          <w:tcPr>
            <w:tcW w:w="2793" w:type="dxa"/>
            <w:vAlign w:val="center"/>
          </w:tcPr>
          <w:p w14:paraId="254906C1" w14:textId="6C929BFA"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đã được bãi bỏ tại dự thảo Bộ luật</w:t>
            </w:r>
          </w:p>
        </w:tc>
      </w:tr>
      <w:tr w:rsidR="005E54B6" w:rsidRPr="000F1EC3" w14:paraId="7DEFD5D5" w14:textId="77777777" w:rsidTr="001B580E">
        <w:trPr>
          <w:gridAfter w:val="1"/>
          <w:wAfter w:w="8" w:type="dxa"/>
        </w:trPr>
        <w:tc>
          <w:tcPr>
            <w:tcW w:w="914" w:type="dxa"/>
            <w:vAlign w:val="center"/>
          </w:tcPr>
          <w:p w14:paraId="115F4753"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0F3FFA05"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24675481"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Bộ Công Thương (văn bản số 3357/BCT-PC ngày 13/5/2026)</w:t>
            </w:r>
          </w:p>
        </w:tc>
        <w:tc>
          <w:tcPr>
            <w:tcW w:w="8872" w:type="dxa"/>
            <w:vAlign w:val="center"/>
          </w:tcPr>
          <w:p w14:paraId="2B21A5A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Về các điều khoản liên quan đến cảng cạn (Điều 31, 32, 153) của dự thảo Bộ luật 3 Bộ Công Thương đánh giá cao việc dự thảo Bộ luật tiếp tục khẳng định cảng cạn có chức năng là cửa khẩu đối với hàng hóa xuất khẩu, nhập khẩu. Điều này đặc biệt quan trọng để giảm tải cho các cảng biển và đẩy nhanh tiến độ thông quan nội địa. Dự thảo Bộ luật đã mở rộng chức năng cảng cạn từ việc chỉ xử lý container sang các dịch vụ hậu cần (logistics) tích hợp, giá trị gia tăng và kết nối đa phương thức, phù hợp với định hướng phát triển chuỗi cung ứng hiện đại, giúp doanh nghiệp xuất nhập khẩu giảm chi phí và thời gian. Liên quan đến nội dung quản lý giá dịch vụ cảng cạn, dự thảo Tờ trình nêu hiện chưa có cơ chế quản lý giá phù hợp đối với dịch vụ cảng cạn. Bộ Công Thương đề xuất cần bổ sung các nguyên tắc khung về quản lý giá dịch vụ tại cảng cạn trong dự thảo để đảm bảo tính đồng bộ với cảng biển và tránh cạnh tranh không lành mạnh trong chuỗi logistics.</w:t>
            </w:r>
          </w:p>
          <w:p w14:paraId="44DD4B9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Về mặt chức năng, cảng cạn là một trong những loại hình trung tâm logistics. Tuy nhiên, do hiện nay chưa có khái niệm thống nhất về logistics, tiêu chí phân loại, phân hạng trung tâm logistics nên cảng cạn cũng như một số loại hình trung tâm logistics (điểm thông quan nội địa, bãi container rỗng, kho ngoại quan,...) chưa được nhìn nhận là trung tâm logistics. </w:t>
            </w:r>
            <w:r w:rsidRPr="000F1EC3">
              <w:rPr>
                <w:rFonts w:ascii="Times New Roman" w:hAnsi="Times New Roman"/>
                <w:sz w:val="24"/>
              </w:rPr>
              <w:lastRenderedPageBreak/>
              <w:t>Trong tương lai, khi hệ thống pháp luật về trung tâm logistics được hoàn thiện, cảng cạn cũng cần tuân thủ các quy định, quy hoạch chung đối với trung tâm logistics. Đồng thời, định nghĩa về cảng cạn đã được nêu tại khoản 21 Điều 4 (Giải thích từ ngữ) nên đề nghị cơ quan chủ trì soạn thảo không đề cập lại nội dung này tại Điều 31 dự thảo Bộ luật.</w:t>
            </w:r>
          </w:p>
        </w:tc>
        <w:tc>
          <w:tcPr>
            <w:tcW w:w="2793" w:type="dxa"/>
            <w:vAlign w:val="center"/>
          </w:tcPr>
          <w:p w14:paraId="78A8C739" w14:textId="7D7DAEC5"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Tiếp thu, rà soát, chỉnh sửa, nội dung quy định chi tiết về giá dịch vụ dự kiến được quy định tại các văn bản hướng dẫn thi hành.</w:t>
            </w:r>
          </w:p>
        </w:tc>
      </w:tr>
      <w:tr w:rsidR="005E54B6" w:rsidRPr="000F1EC3" w14:paraId="3204931F" w14:textId="77777777" w:rsidTr="001B580E">
        <w:trPr>
          <w:gridAfter w:val="1"/>
          <w:wAfter w:w="8" w:type="dxa"/>
        </w:trPr>
        <w:tc>
          <w:tcPr>
            <w:tcW w:w="914" w:type="dxa"/>
            <w:vAlign w:val="center"/>
          </w:tcPr>
          <w:p w14:paraId="74EB3D98"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7FA6DBBD"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3F48D4AD"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Khánh Hòa (văn bản số 4773/SXD-QLVT ngày 11/5/2026)</w:t>
            </w:r>
          </w:p>
        </w:tc>
        <w:tc>
          <w:tcPr>
            <w:tcW w:w="8872" w:type="dxa"/>
            <w:vAlign w:val="center"/>
          </w:tcPr>
          <w:p w14:paraId="6813C3C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1 Điều 32: để thống nhất với giải thích từ ngữ “cảng cạn” tại khoản 27 Điều 4, đề nghị cơ quan soạn thảo bổ sung nội dung “cảng thủy nội địa”.</w:t>
            </w:r>
          </w:p>
        </w:tc>
        <w:tc>
          <w:tcPr>
            <w:tcW w:w="2793" w:type="dxa"/>
            <w:vAlign w:val="center"/>
          </w:tcPr>
          <w:p w14:paraId="594B1F82" w14:textId="3CB6DD3D"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chỉnh sửa</w:t>
            </w:r>
          </w:p>
        </w:tc>
      </w:tr>
      <w:tr w:rsidR="005E54B6" w:rsidRPr="000F1EC3" w14:paraId="4D54283E" w14:textId="77777777" w:rsidTr="001B580E">
        <w:trPr>
          <w:gridAfter w:val="1"/>
          <w:wAfter w:w="8" w:type="dxa"/>
        </w:trPr>
        <w:tc>
          <w:tcPr>
            <w:tcW w:w="914" w:type="dxa"/>
            <w:vAlign w:val="center"/>
          </w:tcPr>
          <w:p w14:paraId="748CDE61"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5B3C3270"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2F67CEA0" w14:textId="77777777" w:rsidR="005E54B6" w:rsidRPr="000F1EC3" w:rsidRDefault="005E54B6" w:rsidP="005E54B6">
            <w:pPr>
              <w:spacing w:before="20" w:after="20"/>
              <w:jc w:val="both"/>
              <w:rPr>
                <w:rFonts w:ascii="Times New Roman" w:hAnsi="Times New Roman"/>
                <w:b/>
                <w:sz w:val="24"/>
              </w:rPr>
            </w:pPr>
            <w:r w:rsidRPr="000F1EC3">
              <w:rPr>
                <w:rFonts w:ascii="Times New Roman" w:hAnsi="Times New Roman"/>
                <w:b/>
                <w:sz w:val="24"/>
              </w:rPr>
              <w:t>Sở Xây dựng Phú Thọ</w:t>
            </w:r>
          </w:p>
          <w:p w14:paraId="3C6EA518" w14:textId="77777777" w:rsidR="005E54B6" w:rsidRPr="000F1EC3" w:rsidRDefault="005E54B6" w:rsidP="005E54B6">
            <w:pPr>
              <w:spacing w:before="20" w:after="20"/>
              <w:jc w:val="both"/>
              <w:rPr>
                <w:rFonts w:ascii="Times New Roman" w:hAnsi="Times New Roman"/>
                <w:b/>
                <w:sz w:val="24"/>
              </w:rPr>
            </w:pPr>
            <w:r w:rsidRPr="000F1EC3">
              <w:rPr>
                <w:rFonts w:ascii="Times New Roman" w:hAnsi="Times New Roman"/>
                <w:b/>
                <w:sz w:val="24"/>
              </w:rPr>
              <w:t>(Văn bản số 4629/ SXD-QLVT&amp;ATGT ngày 08/5/2026)</w:t>
            </w:r>
          </w:p>
        </w:tc>
        <w:tc>
          <w:tcPr>
            <w:tcW w:w="8872" w:type="dxa"/>
            <w:vAlign w:val="center"/>
          </w:tcPr>
          <w:p w14:paraId="7BC062C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3: đề nghị cơ quan chủ trì soạn thảo nghiên cứu xem xét phân biệt khái niệm “dịch vụ hậu cần” và “logistics”; việc sử dụng thuật ngữ “logistics” đảm bảo sự phù hợp với phân loại dịch vụ logistics tại Nghị định số 163/2017/NĐ-CP ngày 30/12/2017 của Chính phủ quy định về kinh doanh dịch vụ logistics.</w:t>
            </w:r>
          </w:p>
        </w:tc>
        <w:tc>
          <w:tcPr>
            <w:tcW w:w="2793" w:type="dxa"/>
            <w:vAlign w:val="center"/>
          </w:tcPr>
          <w:p w14:paraId="1E9B77EB" w14:textId="69175461"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dự thảo chỉ sử dụng thống nhất không một thuật ngữ logistics theo nghĩa pháp lý.</w:t>
            </w:r>
          </w:p>
        </w:tc>
      </w:tr>
      <w:tr w:rsidR="005E54B6" w:rsidRPr="000F1EC3" w14:paraId="0A1998A8" w14:textId="77777777" w:rsidTr="001B580E">
        <w:trPr>
          <w:gridAfter w:val="1"/>
          <w:wAfter w:w="8" w:type="dxa"/>
        </w:trPr>
        <w:tc>
          <w:tcPr>
            <w:tcW w:w="914" w:type="dxa"/>
            <w:vAlign w:val="center"/>
          </w:tcPr>
          <w:p w14:paraId="39009C7D"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67803735"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35</w:t>
            </w:r>
          </w:p>
        </w:tc>
        <w:tc>
          <w:tcPr>
            <w:tcW w:w="1620" w:type="dxa"/>
            <w:vAlign w:val="center"/>
          </w:tcPr>
          <w:p w14:paraId="3CD2D741"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Ninh Bình (Văn bản số 4097/SXD-CVĐTNĐ ngày 08/5/2026)</w:t>
            </w:r>
          </w:p>
        </w:tc>
        <w:tc>
          <w:tcPr>
            <w:tcW w:w="8872" w:type="dxa"/>
            <w:vAlign w:val="center"/>
          </w:tcPr>
          <w:p w14:paraId="7F989AC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2: Đề nghị sửa thành “Việc lập, thẩm định, phê duyệt, điều chỉnh, công bố các quy hoạch quy định tại điểm a, b, khoản 1 Điều này thực hiện theo quy định của pháp luật về quy hoạch, đầu tư”</w:t>
            </w:r>
          </w:p>
        </w:tc>
        <w:tc>
          <w:tcPr>
            <w:tcW w:w="2793" w:type="dxa"/>
            <w:vAlign w:val="center"/>
          </w:tcPr>
          <w:p w14:paraId="1C7686AF" w14:textId="29A9E8B5"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Đã rà soát, điều chỉnh tại Điều 15 dự thảo</w:t>
            </w:r>
          </w:p>
        </w:tc>
      </w:tr>
      <w:tr w:rsidR="005E54B6" w:rsidRPr="000F1EC3" w14:paraId="1ADBE648" w14:textId="77777777" w:rsidTr="001B580E">
        <w:trPr>
          <w:gridAfter w:val="1"/>
          <w:wAfter w:w="8" w:type="dxa"/>
        </w:trPr>
        <w:tc>
          <w:tcPr>
            <w:tcW w:w="914" w:type="dxa"/>
            <w:vAlign w:val="center"/>
          </w:tcPr>
          <w:p w14:paraId="2E6D5A01"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342292F5"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2D6C9C7E"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Ninh Bình (Văn bản số 4097/SXD-CVĐTNĐ ngày 08/5/2026)</w:t>
            </w:r>
          </w:p>
        </w:tc>
        <w:tc>
          <w:tcPr>
            <w:tcW w:w="8872" w:type="dxa"/>
            <w:vAlign w:val="center"/>
          </w:tcPr>
          <w:p w14:paraId="3ABC5F4C"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3: Nên sửa thành “Việc lập, thẩm định, phê duyệt, công bố, thực hiện, đánh giá và điều chỉnh quy hoạch tại điểm c, d, e, khoản 1 Điều này thực hiện theo quy định của pháp luật về quy hoạch, đầu tư và pháp luật về hàng hải, đường thủy nội địa”</w:t>
            </w:r>
          </w:p>
        </w:tc>
        <w:tc>
          <w:tcPr>
            <w:tcW w:w="2793" w:type="dxa"/>
            <w:vAlign w:val="center"/>
          </w:tcPr>
          <w:p w14:paraId="67A0B20F" w14:textId="7C8D5C9F"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Đã rà soát, điều chỉnh tại Điều 15 dự thảo</w:t>
            </w:r>
            <w:r w:rsidR="00514CAC" w:rsidRPr="000F1EC3">
              <w:rPr>
                <w:rFonts w:ascii="Times New Roman" w:hAnsi="Times New Roman"/>
                <w:sz w:val="24"/>
              </w:rPr>
              <w:t xml:space="preserve"> dối với nội dung về quy hoạch, nội dung liên quan đến đầu tư được quy định tại các điều phía sau.</w:t>
            </w:r>
          </w:p>
        </w:tc>
      </w:tr>
      <w:tr w:rsidR="005E54B6" w:rsidRPr="000F1EC3" w14:paraId="638FFBB1" w14:textId="77777777" w:rsidTr="001B580E">
        <w:trPr>
          <w:gridAfter w:val="1"/>
          <w:wAfter w:w="8" w:type="dxa"/>
        </w:trPr>
        <w:tc>
          <w:tcPr>
            <w:tcW w:w="914" w:type="dxa"/>
            <w:vAlign w:val="center"/>
          </w:tcPr>
          <w:p w14:paraId="011E232A"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7C37AEE9"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7F3E2ABC"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 xml:space="preserve">Sở Xây dựng Gia Lai (văn </w:t>
            </w:r>
            <w:r w:rsidRPr="000F1EC3">
              <w:rPr>
                <w:rFonts w:ascii="Times New Roman" w:hAnsi="Times New Roman"/>
                <w:b/>
                <w:bCs/>
                <w:sz w:val="24"/>
              </w:rPr>
              <w:lastRenderedPageBreak/>
              <w:t>bản số 3648/SXD-GT ngày 11/5/2026)</w:t>
            </w:r>
          </w:p>
        </w:tc>
        <w:tc>
          <w:tcPr>
            <w:tcW w:w="8872" w:type="dxa"/>
            <w:vAlign w:val="center"/>
          </w:tcPr>
          <w:p w14:paraId="0EFA710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 Tại khoản 3 Điều 35, đề nghị chỉnh sửa quy định “Việc lập, thẩm định, phê duyệt, công bố, thực hiện, đánh giá và điều chỉnh quy hoạch tại điểm c, d, e, khoản 1 Điều này thực </w:t>
            </w:r>
            <w:r w:rsidRPr="000F1EC3">
              <w:rPr>
                <w:rFonts w:ascii="Times New Roman" w:hAnsi="Times New Roman"/>
                <w:sz w:val="24"/>
              </w:rPr>
              <w:lastRenderedPageBreak/>
              <w:t>hiện theo quy định của pháp luật về quy hoạch và pháp luật về hàng hải, đường thủy nội địa” thành “Việc lập, thẩm định, phê duyệt, công bố, thực hiện, đánh giá và điều chỉnh quy hoạch tại tại điểm c, d, đ, khoản 1 Điều này thực hiện theo quy định của pháp luật về quy hoạch và pháp luật về hàng hải, đường thủy nội địa” cho chính xác điều khoản được viện dẫn vì khoản 1 Điều 35 Dự thảo không có điểm e.</w:t>
            </w:r>
          </w:p>
          <w:p w14:paraId="38CFB1D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Điều 35: Đề nghị bỏ dấu (.) trong tên của Điều 35 cho phù hợp, thống nhất với cách trình bày tên các điều khác trong Dự thảo.</w:t>
            </w:r>
          </w:p>
          <w:p w14:paraId="12E6BF8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2 Điều 35: Đề nghị chỉnh sửa nội dung “điểm a, b, khoản 1 Điều này” thành “điểm a, b khoản 1 Điều này” cho chính xác.</w:t>
            </w:r>
          </w:p>
          <w:p w14:paraId="394E74E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Khoản 3 Điều 35: Đề nghị bỏ bớt từ “tại” trong quy định “Việc lập, thẩm định, phê duyệt, công bố, thực hiện, đánh giá và điều chỉnh quy hoạch tại tại điểm c, d, e, khoản 1 Điều này” vì thừa từ.</w:t>
            </w:r>
          </w:p>
        </w:tc>
        <w:tc>
          <w:tcPr>
            <w:tcW w:w="2793" w:type="dxa"/>
            <w:vAlign w:val="center"/>
          </w:tcPr>
          <w:p w14:paraId="11E6EFF3" w14:textId="4360861C"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Đã rà soát, điều chỉnh tại Điều 15 dự thảo</w:t>
            </w:r>
          </w:p>
        </w:tc>
      </w:tr>
      <w:tr w:rsidR="005E54B6" w:rsidRPr="000F1EC3" w14:paraId="637092BB" w14:textId="77777777" w:rsidTr="001B580E">
        <w:trPr>
          <w:gridAfter w:val="1"/>
          <w:wAfter w:w="8" w:type="dxa"/>
        </w:trPr>
        <w:tc>
          <w:tcPr>
            <w:tcW w:w="914" w:type="dxa"/>
            <w:vAlign w:val="center"/>
          </w:tcPr>
          <w:p w14:paraId="17BF1854"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1914FFE5" w14:textId="2D6C1B8D" w:rsidR="005E54B6" w:rsidRPr="000F1EC3" w:rsidRDefault="00443D4B" w:rsidP="005E54B6">
            <w:pPr>
              <w:spacing w:before="20" w:after="20"/>
              <w:jc w:val="both"/>
              <w:rPr>
                <w:rFonts w:ascii="Times New Roman" w:hAnsi="Times New Roman"/>
                <w:b/>
                <w:bCs/>
                <w:sz w:val="24"/>
              </w:rPr>
            </w:pPr>
            <w:r w:rsidRPr="000F1EC3">
              <w:rPr>
                <w:rFonts w:ascii="Times New Roman" w:hAnsi="Times New Roman"/>
                <w:b/>
                <w:bCs/>
                <w:sz w:val="24"/>
              </w:rPr>
              <w:t>Điều 36</w:t>
            </w:r>
          </w:p>
        </w:tc>
        <w:tc>
          <w:tcPr>
            <w:tcW w:w="1620" w:type="dxa"/>
            <w:vAlign w:val="center"/>
          </w:tcPr>
          <w:p w14:paraId="55A9C291"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6C9A0E5D" w14:textId="77777777" w:rsidR="005E54B6" w:rsidRPr="000F1EC3" w:rsidRDefault="005E54B6" w:rsidP="005E54B6">
            <w:pPr>
              <w:tabs>
                <w:tab w:val="left" w:pos="851"/>
              </w:tabs>
              <w:spacing w:before="20" w:after="20"/>
              <w:jc w:val="both"/>
              <w:rPr>
                <w:rFonts w:ascii="Times New Roman" w:hAnsi="Times New Roman"/>
                <w:bCs/>
                <w:i/>
                <w:iCs/>
                <w:spacing w:val="-2"/>
                <w:sz w:val="24"/>
              </w:rPr>
            </w:pPr>
            <w:r w:rsidRPr="000F1EC3">
              <w:rPr>
                <w:rFonts w:ascii="Times New Roman" w:hAnsi="Times New Roman"/>
                <w:spacing w:val="-2"/>
                <w:sz w:val="24"/>
              </w:rPr>
              <w:t xml:space="preserve">Khoản 1 Điều </w:t>
            </w:r>
            <w:r w:rsidRPr="000F1EC3">
              <w:rPr>
                <w:rFonts w:ascii="Times New Roman" w:hAnsi="Times New Roman"/>
                <w:bCs/>
                <w:spacing w:val="-2"/>
                <w:sz w:val="24"/>
              </w:rPr>
              <w:t>36</w:t>
            </w:r>
            <w:r w:rsidRPr="000F1EC3">
              <w:rPr>
                <w:rFonts w:ascii="Times New Roman" w:hAnsi="Times New Roman"/>
                <w:spacing w:val="-2"/>
                <w:sz w:val="24"/>
              </w:rPr>
              <w:t xml:space="preserve"> dự thảo Bộ luật</w:t>
            </w:r>
            <w:r w:rsidRPr="000F1EC3">
              <w:rPr>
                <w:rFonts w:ascii="Times New Roman" w:hAnsi="Times New Roman"/>
                <w:bCs/>
                <w:spacing w:val="-2"/>
                <w:sz w:val="24"/>
              </w:rPr>
              <w:t xml:space="preserve"> (Đầu tư kết cấu hạ tầng hàng hải và đường thủy nội địa, cảng cạn) đề nghị xem xét chỉnh sửa thành </w:t>
            </w:r>
            <w:r w:rsidRPr="000F1EC3">
              <w:rPr>
                <w:rFonts w:ascii="Times New Roman" w:hAnsi="Times New Roman"/>
                <w:bCs/>
                <w:i/>
                <w:iCs/>
                <w:spacing w:val="-2"/>
                <w:sz w:val="24"/>
              </w:rPr>
              <w:t xml:space="preserve">“1. Việc đầu tư phát triển kết cấu hạ tầng hàng hải, đường thủy nội địa và cảng cạn phải tuân thủ quy hoạch kết cấu hạ tầng được cơ quan có thẩm quyền phê duyệt theo quy định của Bộ luật này; </w:t>
            </w:r>
            <w:r w:rsidRPr="000F1EC3">
              <w:rPr>
                <w:rFonts w:ascii="Times New Roman" w:hAnsi="Times New Roman"/>
                <w:b/>
                <w:i/>
                <w:iCs/>
                <w:spacing w:val="-2"/>
                <w:sz w:val="24"/>
              </w:rPr>
              <w:t>tuân thủ</w:t>
            </w:r>
            <w:r w:rsidRPr="000F1EC3">
              <w:rPr>
                <w:rFonts w:ascii="Times New Roman" w:hAnsi="Times New Roman"/>
                <w:bCs/>
                <w:i/>
                <w:iCs/>
                <w:spacing w:val="-2"/>
                <w:sz w:val="24"/>
              </w:rPr>
              <w:t xml:space="preserve"> quy định của pháp luật về đầu tư, xây dựng, </w:t>
            </w:r>
            <w:r w:rsidRPr="000F1EC3">
              <w:rPr>
                <w:rFonts w:ascii="Times New Roman" w:hAnsi="Times New Roman"/>
                <w:b/>
                <w:i/>
                <w:iCs/>
                <w:spacing w:val="-2"/>
                <w:sz w:val="24"/>
              </w:rPr>
              <w:t>đê điều, phòng, chống thiên tai</w:t>
            </w:r>
            <w:r w:rsidRPr="000F1EC3">
              <w:rPr>
                <w:rFonts w:ascii="Times New Roman" w:hAnsi="Times New Roman"/>
                <w:bCs/>
                <w:i/>
                <w:iCs/>
                <w:spacing w:val="-2"/>
                <w:sz w:val="24"/>
              </w:rPr>
              <w:t xml:space="preserve"> và pháp luật có liên quan.”</w:t>
            </w:r>
          </w:p>
        </w:tc>
        <w:tc>
          <w:tcPr>
            <w:tcW w:w="2793" w:type="dxa"/>
            <w:vAlign w:val="center"/>
          </w:tcPr>
          <w:p w14:paraId="6D25EFE2" w14:textId="033C2E32"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đã được rà soát, quy định tại Điều 16 dự thảo.</w:t>
            </w:r>
          </w:p>
        </w:tc>
      </w:tr>
      <w:tr w:rsidR="005E54B6" w:rsidRPr="000F1EC3" w14:paraId="5D565D28" w14:textId="77777777" w:rsidTr="001B580E">
        <w:trPr>
          <w:gridAfter w:val="1"/>
          <w:wAfter w:w="8" w:type="dxa"/>
        </w:trPr>
        <w:tc>
          <w:tcPr>
            <w:tcW w:w="914" w:type="dxa"/>
            <w:vAlign w:val="center"/>
          </w:tcPr>
          <w:p w14:paraId="70BA03D8"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2B327599"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49D6396F"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UBND TP Hải Phòng (văn bản số 895/UBND-XDCT ngày 12/5/2026)</w:t>
            </w:r>
          </w:p>
        </w:tc>
        <w:tc>
          <w:tcPr>
            <w:tcW w:w="8872" w:type="dxa"/>
            <w:vAlign w:val="center"/>
          </w:tcPr>
          <w:p w14:paraId="3A6642C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quy định rõ hoặc giao Chính phủ quy định cụ thể về danh mục “công trình kết cấu hạ tầng trọng yếu, chiến lược” quy định tại khoản 3 Điều này để phân định rõ trách nhiệm nắm giữ, chi phối hoặc trực tiếp quản lý công trình kết cấu hạ tầng hàng hải và đường thủy của Nhà nước và Nhà đầu tư.</w:t>
            </w:r>
          </w:p>
        </w:tc>
        <w:tc>
          <w:tcPr>
            <w:tcW w:w="2793" w:type="dxa"/>
            <w:vAlign w:val="center"/>
          </w:tcPr>
          <w:p w14:paraId="001C6B8B" w14:textId="444B0ACB"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đã được rà soát, quy định tại Điều 16 dự thảo.</w:t>
            </w:r>
          </w:p>
        </w:tc>
      </w:tr>
      <w:tr w:rsidR="005E54B6" w:rsidRPr="000F1EC3" w14:paraId="654D992C" w14:textId="77777777" w:rsidTr="001B580E">
        <w:trPr>
          <w:gridAfter w:val="1"/>
          <w:wAfter w:w="8" w:type="dxa"/>
        </w:trPr>
        <w:tc>
          <w:tcPr>
            <w:tcW w:w="914" w:type="dxa"/>
            <w:vAlign w:val="center"/>
          </w:tcPr>
          <w:p w14:paraId="5540A112"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2B701A17"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06A5A31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Hưng Yên (văn bản số 2188/SXD-QLKCHT ngày 12/5/2026)</w:t>
            </w:r>
          </w:p>
        </w:tc>
        <w:tc>
          <w:tcPr>
            <w:tcW w:w="8872" w:type="dxa"/>
            <w:vAlign w:val="center"/>
          </w:tcPr>
          <w:p w14:paraId="1B6DC4A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quy định rõ hoặc giao Chính phủ quy định cụ thể về danh mục “công trình kết cấu hạ tầng trọng yếu, chiến lược” quy định tại khoản 3 Điều này để phân định rõ trách nhiệm nắm giữ, chi phối hoặc trực tiếp quản lý công trình kết cấu hạ tầng hàng hải và đường thủy của Nhà nước và Nhà đầu tư.</w:t>
            </w:r>
          </w:p>
        </w:tc>
        <w:tc>
          <w:tcPr>
            <w:tcW w:w="2793" w:type="dxa"/>
            <w:vAlign w:val="center"/>
          </w:tcPr>
          <w:p w14:paraId="5D1E0FB6" w14:textId="50DE98A0"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đã quy định tại Chường II dự thảo</w:t>
            </w:r>
          </w:p>
        </w:tc>
      </w:tr>
      <w:tr w:rsidR="005E54B6" w:rsidRPr="000F1EC3" w14:paraId="273BFE20" w14:textId="77777777" w:rsidTr="001B580E">
        <w:trPr>
          <w:gridAfter w:val="1"/>
          <w:wAfter w:w="8" w:type="dxa"/>
        </w:trPr>
        <w:tc>
          <w:tcPr>
            <w:tcW w:w="914" w:type="dxa"/>
            <w:vAlign w:val="center"/>
          </w:tcPr>
          <w:p w14:paraId="6CFA27F0"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53DB2529" w14:textId="77777777" w:rsidR="005E54B6" w:rsidRPr="000F1EC3" w:rsidRDefault="005E54B6" w:rsidP="005E54B6">
            <w:pPr>
              <w:spacing w:before="20" w:after="20"/>
              <w:jc w:val="both"/>
              <w:rPr>
                <w:rFonts w:ascii="Times New Roman" w:hAnsi="Times New Roman"/>
                <w:b/>
                <w:bCs/>
                <w:sz w:val="24"/>
              </w:rPr>
            </w:pPr>
            <w:r w:rsidRPr="00845D33">
              <w:rPr>
                <w:rFonts w:ascii="Times New Roman" w:hAnsi="Times New Roman"/>
                <w:b/>
                <w:bCs/>
                <w:sz w:val="24"/>
              </w:rPr>
              <w:t xml:space="preserve">Tại mục 3 </w:t>
            </w:r>
            <w:r w:rsidRPr="00845D33">
              <w:rPr>
                <w:rFonts w:ascii="Times New Roman" w:hAnsi="Times New Roman"/>
                <w:b/>
                <w:bCs/>
                <w:sz w:val="24"/>
              </w:rPr>
              <w:lastRenderedPageBreak/>
              <w:t>Chương II</w:t>
            </w:r>
          </w:p>
        </w:tc>
        <w:tc>
          <w:tcPr>
            <w:tcW w:w="1620" w:type="dxa"/>
            <w:vAlign w:val="center"/>
          </w:tcPr>
          <w:p w14:paraId="192D833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lastRenderedPageBreak/>
              <w:t>Thanh tra Chính phủ</w:t>
            </w:r>
          </w:p>
          <w:p w14:paraId="020FAF59"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lastRenderedPageBreak/>
              <w:t>(Văn bản số 1317/ TTCP- C.VII ngày 07/5/2026)</w:t>
            </w:r>
          </w:p>
        </w:tc>
        <w:tc>
          <w:tcPr>
            <w:tcW w:w="8872" w:type="dxa"/>
            <w:vAlign w:val="center"/>
          </w:tcPr>
          <w:p w14:paraId="2EC69F0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Đề nghị bổ sung các quy định cụ thể theo từng hình thức đầu tư để đảm bảo thống nhất thực hiện và phù hợp với các quy định hiện tại về đầu tư xây dựng (đầu tư công, đầu tư theo hình thức PPP....)</w:t>
            </w:r>
          </w:p>
        </w:tc>
        <w:tc>
          <w:tcPr>
            <w:tcW w:w="2793" w:type="dxa"/>
            <w:vAlign w:val="center"/>
          </w:tcPr>
          <w:p w14:paraId="14D0BEFF" w14:textId="7435C8CA"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này được thực hiện theo Luật PPP, Luật đầu tư, Luật đầu tư công.</w:t>
            </w:r>
          </w:p>
        </w:tc>
      </w:tr>
      <w:tr w:rsidR="005E54B6" w:rsidRPr="000F1EC3" w14:paraId="76FE67F5" w14:textId="77777777" w:rsidTr="001B580E">
        <w:trPr>
          <w:gridAfter w:val="1"/>
          <w:wAfter w:w="8" w:type="dxa"/>
        </w:trPr>
        <w:tc>
          <w:tcPr>
            <w:tcW w:w="914" w:type="dxa"/>
            <w:vAlign w:val="center"/>
          </w:tcPr>
          <w:p w14:paraId="4390E206"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283BD633" w14:textId="77777777" w:rsidR="005E54B6" w:rsidRPr="000F1EC3" w:rsidRDefault="005E54B6" w:rsidP="005E54B6">
            <w:pPr>
              <w:spacing w:before="20" w:after="20"/>
              <w:jc w:val="both"/>
              <w:rPr>
                <w:rFonts w:ascii="Times New Roman" w:hAnsi="Times New Roman"/>
                <w:b/>
                <w:sz w:val="24"/>
              </w:rPr>
            </w:pPr>
            <w:r w:rsidRPr="000F1EC3">
              <w:rPr>
                <w:rFonts w:ascii="Times New Roman" w:hAnsi="Times New Roman"/>
                <w:b/>
                <w:sz w:val="24"/>
              </w:rPr>
              <w:t>Điều 38</w:t>
            </w:r>
          </w:p>
        </w:tc>
        <w:tc>
          <w:tcPr>
            <w:tcW w:w="1620" w:type="dxa"/>
            <w:vAlign w:val="center"/>
          </w:tcPr>
          <w:p w14:paraId="1A952A1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UBND TP Hải Phòng (văn bản số 895/UBND-XDCT ngày 12/5/2026)</w:t>
            </w:r>
          </w:p>
        </w:tc>
        <w:tc>
          <w:tcPr>
            <w:tcW w:w="8872" w:type="dxa"/>
            <w:vAlign w:val="center"/>
          </w:tcPr>
          <w:p w14:paraId="677C536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Hiện nay, các chính sách ưu đãi hỗ trợ phát triển các ngành công nghiệp đóng tàu, cảng biển, cảng thủy nội địa đang được quy định cụ thể tại các Luật như: Luật Thuế xuất khẩu, thuế nhập khẩu năm 2016, Luật Thuế thu nhập cá nhân năm 2025, Luật Đất đai năm 2024, Luật Đầu tư năm 2020, … Các chính sách ưu đãi này đã hỗ trợ rất nhiều cho các nhà đầu tư tham gia phát triển kết cấu hạ tầng hàng hải và đường thủy nội địa. Tuy nhiên, trong bối cảnh tình hình thế giới và trong nước có nhiều biến động, cùng sự phát triển của khoa học công nghệ đặt ra nhiều yêu cầu mới trong phát triển cảng xanh, cảng thông minh, cần thiết phải có nhiều cơ chế, chính sách mới ưu đãi hỗ trợ nhà đầu tư. Việc giao cho Chính phủ quy định các chính sách ưu đãi hỗ trợ đối với phát triển kết cấu hạ tầng hàng hải, đường thủy nội địa và cảng cạn không thể quy định các chính sách hỗ trợ mới, đủ mạnh để phát triển kết cấu hạ tầng hàng hải, đường thủy nội địa và cảng cạn. Do đó, đề nghị cơ quan chủ trì soạn thảo quy định cụ thể các chính sách ưu đãi, hỗ trợ đầu tư trong dự thảo Bộ Luật này.</w:t>
            </w:r>
          </w:p>
        </w:tc>
        <w:tc>
          <w:tcPr>
            <w:tcW w:w="2793" w:type="dxa"/>
            <w:vAlign w:val="center"/>
          </w:tcPr>
          <w:p w14:paraId="27976B5C" w14:textId="1A942526"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Tiếp thu, rà soát, điều chỉnh tại Điều 6 dự thảo.</w:t>
            </w:r>
          </w:p>
        </w:tc>
      </w:tr>
      <w:tr w:rsidR="00082F69" w:rsidRPr="000F1EC3" w14:paraId="564ABF18" w14:textId="77777777" w:rsidTr="00845D33">
        <w:trPr>
          <w:gridAfter w:val="1"/>
          <w:wAfter w:w="8" w:type="dxa"/>
          <w:trHeight w:val="3402"/>
        </w:trPr>
        <w:tc>
          <w:tcPr>
            <w:tcW w:w="914" w:type="dxa"/>
            <w:vAlign w:val="center"/>
          </w:tcPr>
          <w:p w14:paraId="18E72368" w14:textId="77777777" w:rsidR="00082F69" w:rsidRPr="00845D33" w:rsidRDefault="00082F69"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76461AEE" w14:textId="77777777" w:rsidR="00082F69" w:rsidRPr="000F1EC3" w:rsidRDefault="00082F69" w:rsidP="0081493C">
            <w:pPr>
              <w:spacing w:before="20" w:after="20"/>
              <w:jc w:val="both"/>
              <w:rPr>
                <w:rFonts w:ascii="Times New Roman" w:hAnsi="Times New Roman"/>
                <w:b/>
                <w:bCs/>
                <w:sz w:val="24"/>
              </w:rPr>
            </w:pPr>
            <w:r w:rsidRPr="000F1EC3">
              <w:rPr>
                <w:rFonts w:ascii="Times New Roman" w:hAnsi="Times New Roman"/>
                <w:b/>
                <w:bCs/>
                <w:sz w:val="24"/>
              </w:rPr>
              <w:t xml:space="preserve">Điều 39 </w:t>
            </w:r>
          </w:p>
        </w:tc>
        <w:tc>
          <w:tcPr>
            <w:tcW w:w="1620" w:type="dxa"/>
            <w:vAlign w:val="center"/>
          </w:tcPr>
          <w:p w14:paraId="3624BBEC" w14:textId="134C9957" w:rsidR="00082F69" w:rsidRPr="000F1EC3" w:rsidRDefault="00082F69" w:rsidP="0081493C">
            <w:pPr>
              <w:spacing w:before="20" w:after="20"/>
              <w:jc w:val="center"/>
              <w:rPr>
                <w:rFonts w:ascii="Times New Roman" w:hAnsi="Times New Roman"/>
                <w:b/>
                <w:bCs/>
                <w:sz w:val="24"/>
              </w:rPr>
            </w:pPr>
            <w:r w:rsidRPr="000F1EC3">
              <w:rPr>
                <w:rFonts w:ascii="Times New Roman" w:hAnsi="Times New Roman"/>
                <w:b/>
                <w:bCs/>
                <w:sz w:val="24"/>
              </w:rPr>
              <w:t>Bộ NNMT (văn bản số 4798/BNNMT-PC ngày 13/5/2026)</w:t>
            </w:r>
          </w:p>
        </w:tc>
        <w:tc>
          <w:tcPr>
            <w:tcW w:w="8872" w:type="dxa"/>
            <w:vAlign w:val="center"/>
          </w:tcPr>
          <w:p w14:paraId="3A4A14E4" w14:textId="0B67C21B" w:rsidR="00082F69" w:rsidRPr="000F1EC3" w:rsidRDefault="00082F69" w:rsidP="0081493C">
            <w:pPr>
              <w:tabs>
                <w:tab w:val="left" w:pos="851"/>
              </w:tabs>
              <w:spacing w:before="20" w:after="20"/>
              <w:jc w:val="both"/>
              <w:rPr>
                <w:rFonts w:ascii="Times New Roman" w:hAnsi="Times New Roman"/>
                <w:sz w:val="24"/>
              </w:rPr>
            </w:pPr>
            <w:r w:rsidRPr="000F1EC3">
              <w:rPr>
                <w:rFonts w:ascii="Times New Roman" w:hAnsi="Times New Roman"/>
                <w:spacing w:val="-2"/>
                <w:sz w:val="24"/>
              </w:rPr>
              <w:t>Đối với Điều 39 dự thảo Bộ luật đề nghị lựa chọn phương án 2 (xem xét gia hạn có điều kiện) để bảo đảm quyền của nhà đầu tư khi hết thời gian hoạt động theo quy định của pháp luật về đầu tư. Trường hợp nhà đầu tư không đủ điều kiện hoặc không đề nghị gia hạn thì mới thu hồi.</w:t>
            </w:r>
            <w:r>
              <w:rPr>
                <w:rFonts w:ascii="Times New Roman" w:hAnsi="Times New Roman"/>
                <w:spacing w:val="-2"/>
                <w:sz w:val="24"/>
              </w:rPr>
              <w:t xml:space="preserve">Vụ </w:t>
            </w:r>
          </w:p>
        </w:tc>
        <w:tc>
          <w:tcPr>
            <w:tcW w:w="2793" w:type="dxa"/>
          </w:tcPr>
          <w:p w14:paraId="47104598" w14:textId="1421129F" w:rsidR="00082F69" w:rsidRPr="000F1EC3" w:rsidRDefault="00082F69"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1FD8C7EA" w14:textId="77777777" w:rsidTr="001B580E">
        <w:trPr>
          <w:gridAfter w:val="1"/>
          <w:wAfter w:w="8" w:type="dxa"/>
        </w:trPr>
        <w:tc>
          <w:tcPr>
            <w:tcW w:w="914" w:type="dxa"/>
            <w:vAlign w:val="center"/>
          </w:tcPr>
          <w:p w14:paraId="6E2AF241" w14:textId="77777777" w:rsidR="005E54B6" w:rsidRPr="000F1EC3" w:rsidRDefault="005E54B6" w:rsidP="005E54B6">
            <w:pPr>
              <w:spacing w:before="20" w:after="20"/>
              <w:jc w:val="both"/>
              <w:rPr>
                <w:rFonts w:ascii="Times New Roman" w:hAnsi="Times New Roman"/>
                <w:b/>
                <w:bCs/>
                <w:sz w:val="24"/>
              </w:rPr>
            </w:pPr>
          </w:p>
        </w:tc>
        <w:tc>
          <w:tcPr>
            <w:tcW w:w="992" w:type="dxa"/>
            <w:vMerge/>
            <w:vAlign w:val="center"/>
          </w:tcPr>
          <w:p w14:paraId="009C98AF"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129A28CD"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ĐBQH Cao Bằng (văn bản số 64/ĐBQH-</w:t>
            </w:r>
            <w:r w:rsidRPr="000F1EC3">
              <w:rPr>
                <w:rFonts w:ascii="Times New Roman" w:hAnsi="Times New Roman"/>
                <w:b/>
                <w:sz w:val="24"/>
              </w:rPr>
              <w:lastRenderedPageBreak/>
              <w:t>VP ngày 12/5/2026)</w:t>
            </w:r>
          </w:p>
        </w:tc>
        <w:tc>
          <w:tcPr>
            <w:tcW w:w="8872" w:type="dxa"/>
            <w:vAlign w:val="center"/>
          </w:tcPr>
          <w:p w14:paraId="3F1BEEE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Lựa chọn PA 2 (hết thời hạn → xem xét gia hạn có điều kiện. </w:t>
            </w:r>
          </w:p>
          <w:p w14:paraId="2DA9F71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Lý do: Thứ nhất, bảo đảm tính liên tục và hiệu quả trong khai thác hạ tầng: Chi phí đầu tư bến cảng biển là rất lớn, mang tính chất hạ tầng chiến lược quốc gia. Việc cho phép gia hạn có điều kiện sẽ giúp tận dụng tối đa năng lực hạ tầng hiện có, tránh lãng phí nguồn lực xã hội và đảm bảo sự ổn định trong chuỗi cung ứng logistics toàn cầu mà Việt Nam đang tham </w:t>
            </w:r>
            <w:r w:rsidRPr="000F1EC3">
              <w:rPr>
                <w:rFonts w:ascii="Times New Roman" w:hAnsi="Times New Roman"/>
                <w:sz w:val="24"/>
              </w:rPr>
              <w:lastRenderedPageBreak/>
              <w:t>gia sâu rộng. Thứ hai, tạo động lực thực hiện "Chuyển đổi xanh" và "Chuyển đổi số": Bằng việc đưa các tiêu chí về Cảng xanh, ứng dụng khoa học công nghệ và nâng cấp hiện đại hóa thành điều kiện bắt buộc để được gia hạn, Nhà nước sẽ thúc đẩy các nhà đầu tư chủ động tái đầu tư, thay đổi công nghệ cũ bằng công nghệ tiên tiến mà không cần sử dụng ngân sách. Điều này phù hợp với cam kết của Việt Nam tại COP26 và xu thế phát triển bền vững. Thứ ba, khẳng định vai trò chủ đạo của Nhà nước và bảo vệ lợi ích công cộng: cơ chế chia sẻ lợi ích, doanh thu và xác định giá trị hạ tầng/vùng nước là phần tham gia của Nhà nước trong giai đoạn gia hạn giúp ngăn ngừa việc thất thoát tài sản công. Đây là sự điều chỉnh cần thiết để đảm bảo hài hòa lợi ích giữa Nhà đầu tư và Nhà nước, đồng thời khẳng định chủ quyền đối với các vị trí mặt nước bến cảng chiến lược. Thứ tư, phương án này tạo ra một điểm thống nhất để xử lý tài sản gắn liền với đất sau khi hết hạn dự án, một vấn đề đang gây lúng túng trong thực tiễn thi hành pháp luật hiện nay. Việc quy định rõ lộ trình và thẩm quyền của Chính phủ sẽ tạo môi trường đầu tư minh bạch, giúp nhà đầu tư yên tâm cam kết gắn bó dài hạn tại Việt Nam.</w:t>
            </w:r>
          </w:p>
        </w:tc>
        <w:tc>
          <w:tcPr>
            <w:tcW w:w="2793" w:type="dxa"/>
            <w:vAlign w:val="center"/>
          </w:tcPr>
          <w:p w14:paraId="6C7A032D" w14:textId="339608E0" w:rsidR="005E54B6" w:rsidRPr="000F1EC3" w:rsidRDefault="0081493C" w:rsidP="005E54B6">
            <w:pPr>
              <w:spacing w:before="20" w:after="20"/>
              <w:jc w:val="both"/>
              <w:rPr>
                <w:rFonts w:ascii="Times New Roman" w:hAnsi="Times New Roman"/>
                <w:b/>
                <w:bCs/>
                <w:sz w:val="24"/>
              </w:rPr>
            </w:pPr>
            <w:r w:rsidRPr="000F1EC3">
              <w:rPr>
                <w:rFonts w:ascii="Times New Roman" w:hAnsi="Times New Roman"/>
                <w:sz w:val="24"/>
              </w:rPr>
              <w:lastRenderedPageBreak/>
              <w:t xml:space="preserve">Đối với các Điều, khoản đề xuất 02 phương án tại Chương II dự thảo xin ý kiến, cơ quan chủ trì soạn thảo đã thực hiện rà soát, </w:t>
            </w:r>
            <w:r w:rsidRPr="000F1EC3">
              <w:rPr>
                <w:rFonts w:ascii="Times New Roman" w:hAnsi="Times New Roman"/>
                <w:sz w:val="24"/>
              </w:rPr>
              <w:lastRenderedPageBreak/>
              <w:t>chỉnh sửa theo hướng sửa đổi, bổ sung các quy định chỉ mang tính nguyên tắc, các nội dung chi tiết được chuyển quy định tại văn bản hướng dẫn thi hành.</w:t>
            </w:r>
          </w:p>
        </w:tc>
      </w:tr>
      <w:tr w:rsidR="005E54B6" w:rsidRPr="000F1EC3" w14:paraId="0B6919D0" w14:textId="77777777" w:rsidTr="001B580E">
        <w:trPr>
          <w:gridAfter w:val="1"/>
          <w:wAfter w:w="8" w:type="dxa"/>
        </w:trPr>
        <w:tc>
          <w:tcPr>
            <w:tcW w:w="914" w:type="dxa"/>
            <w:vAlign w:val="center"/>
          </w:tcPr>
          <w:p w14:paraId="5A7A2B81" w14:textId="77777777" w:rsidR="005E54B6" w:rsidRPr="000F1EC3" w:rsidRDefault="005E54B6" w:rsidP="005E54B6">
            <w:pPr>
              <w:spacing w:before="20" w:after="20"/>
              <w:jc w:val="both"/>
              <w:rPr>
                <w:rFonts w:ascii="Times New Roman" w:hAnsi="Times New Roman"/>
                <w:b/>
                <w:bCs/>
                <w:sz w:val="24"/>
              </w:rPr>
            </w:pPr>
          </w:p>
        </w:tc>
        <w:tc>
          <w:tcPr>
            <w:tcW w:w="992" w:type="dxa"/>
            <w:vMerge/>
            <w:vAlign w:val="center"/>
          </w:tcPr>
          <w:p w14:paraId="1BE3E95A"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117BF458"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Khánh Hòa (văn bản số 4773/SXD-QLVT ngày 11/5/2026)</w:t>
            </w:r>
          </w:p>
        </w:tc>
        <w:tc>
          <w:tcPr>
            <w:tcW w:w="8872" w:type="dxa"/>
            <w:vAlign w:val="center"/>
          </w:tcPr>
          <w:p w14:paraId="5B5994D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thực hiện tái đầu tư, nâng cấp công trình để đáp ứng yêu cầu hội nhập quốc tế và phát triển ngành hàng hải theo hướng xanh, thông minh và bền vững, đề xuất chọn PA 1.</w:t>
            </w:r>
          </w:p>
        </w:tc>
        <w:tc>
          <w:tcPr>
            <w:tcW w:w="2793" w:type="dxa"/>
            <w:vAlign w:val="center"/>
          </w:tcPr>
          <w:p w14:paraId="16B07AF0" w14:textId="1DDF5983" w:rsidR="005E54B6" w:rsidRPr="000F1EC3" w:rsidRDefault="0081493C" w:rsidP="005E54B6">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4D572096" w14:textId="77777777" w:rsidTr="001B580E">
        <w:trPr>
          <w:gridAfter w:val="1"/>
          <w:wAfter w:w="8" w:type="dxa"/>
        </w:trPr>
        <w:tc>
          <w:tcPr>
            <w:tcW w:w="914" w:type="dxa"/>
            <w:vAlign w:val="center"/>
          </w:tcPr>
          <w:p w14:paraId="5A10051F"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33A157D2"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4FB2D9CC"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1B5A3E0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Thống nhất chọn phương án 1 (hết thời hạn → thu hồi)</w:t>
            </w:r>
          </w:p>
          <w:p w14:paraId="700A60FE"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Lý do: nhằm đảm bảo tính thống nhất hạ tầng cảng biển và tạo điều kiện cho nhà đầu tư mới có cơ hội cạnh tranh minh bạch, tránh trường hợp tư nhân hóa kéo dài và cơ chế xin cho.</w:t>
            </w:r>
          </w:p>
        </w:tc>
        <w:tc>
          <w:tcPr>
            <w:tcW w:w="2793" w:type="dxa"/>
          </w:tcPr>
          <w:p w14:paraId="5937D0EE" w14:textId="213AF057"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 xml:space="preserve">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w:t>
            </w:r>
            <w:r w:rsidRPr="000F1EC3">
              <w:rPr>
                <w:rFonts w:ascii="Times New Roman" w:hAnsi="Times New Roman"/>
                <w:sz w:val="24"/>
              </w:rPr>
              <w:lastRenderedPageBreak/>
              <w:t>chuyển quy định tại văn bản hướng dẫn thi hành.</w:t>
            </w:r>
          </w:p>
        </w:tc>
      </w:tr>
      <w:tr w:rsidR="0081493C" w:rsidRPr="000F1EC3" w14:paraId="3B1EAD3F" w14:textId="77777777" w:rsidTr="001B580E">
        <w:trPr>
          <w:gridAfter w:val="1"/>
          <w:wAfter w:w="8" w:type="dxa"/>
        </w:trPr>
        <w:tc>
          <w:tcPr>
            <w:tcW w:w="914" w:type="dxa"/>
            <w:vAlign w:val="center"/>
          </w:tcPr>
          <w:p w14:paraId="228A0A70"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24BF2C67"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55172A5B"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sz w:val="24"/>
              </w:rPr>
              <w:t>ĐBQH Điện Biên (văn bản số 75/DBQH-VP ngày 13/5/2026)</w:t>
            </w:r>
          </w:p>
        </w:tc>
        <w:tc>
          <w:tcPr>
            <w:tcW w:w="8872" w:type="dxa"/>
            <w:vAlign w:val="center"/>
          </w:tcPr>
          <w:p w14:paraId="74C0D513"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Phương án 2 quy định cơ chế gia hạn có điều kiện, cho phép tiếp tục khai thác khi dự án đáp ứng yêu cầu về quy hoạch, hiệu quả, môi trường, quốc phòng, an ninh và nghĩa vụ tài chính, đồng thời bổ sung cơ chế chia sẻ lợi ích với Nhà nước. Cách tiếp cận này tạo động lực cho nhà đầu tư nâng cấp, hiện đại hóa công trình và duy trì hiệu quả khai thác… do đó Đoàn ĐBQH tỉnh Điện Biên đề nghị lựa chọn theo Phương án 2.</w:t>
            </w:r>
          </w:p>
        </w:tc>
        <w:tc>
          <w:tcPr>
            <w:tcW w:w="2793" w:type="dxa"/>
          </w:tcPr>
          <w:p w14:paraId="24BB28F3" w14:textId="6D22FACA"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0B66A9E3" w14:textId="77777777" w:rsidTr="001B580E">
        <w:trPr>
          <w:gridAfter w:val="1"/>
          <w:wAfter w:w="8" w:type="dxa"/>
        </w:trPr>
        <w:tc>
          <w:tcPr>
            <w:tcW w:w="914" w:type="dxa"/>
            <w:vAlign w:val="center"/>
          </w:tcPr>
          <w:p w14:paraId="22E921DB" w14:textId="77777777" w:rsidR="005E54B6" w:rsidRPr="000F1EC3" w:rsidRDefault="005E54B6" w:rsidP="005E54B6">
            <w:pPr>
              <w:spacing w:before="20" w:after="20"/>
              <w:jc w:val="both"/>
              <w:rPr>
                <w:rFonts w:ascii="Times New Roman" w:hAnsi="Times New Roman"/>
                <w:b/>
                <w:bCs/>
                <w:sz w:val="24"/>
              </w:rPr>
            </w:pPr>
          </w:p>
        </w:tc>
        <w:tc>
          <w:tcPr>
            <w:tcW w:w="992" w:type="dxa"/>
            <w:vMerge/>
            <w:vAlign w:val="center"/>
          </w:tcPr>
          <w:p w14:paraId="64C48B79"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632794A5"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007E692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Thời hạn hoạt động, thu hồi/chuyển giao và gia hạn dự án bến cảng biễn </w:t>
            </w:r>
          </w:p>
          <w:p w14:paraId="0C95475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Lựa chọn PA2 theo hướng gia hạn có điều kiện. </w:t>
            </w:r>
          </w:p>
          <w:p w14:paraId="55DE178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PA1 chỉ áp dụng khi nhà đầu tư không có nhu cầu gia hạn, không đáp ứng điều kiện gia hạn, vi phạm nghiêm trọng, dự án không còn phù hợp quy hoạch/quốc phòng/an ninh hoặc cần thu hôi vì lợi ích công cộng theo quy định pháp luật.</w:t>
            </w:r>
          </w:p>
          <w:p w14:paraId="4439ED0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bổ sung: Làm rõ trong thời hạn hoạt động của dự án, nhà đầu tư được sở hữu, quản lý, khai thác và thực hiện quyền tài sản đối với công trình do mình đầu tư, bao gồm quyền thế chấp, bảo đảm nghĩa vụ vay vốn và huy động vốn hợp pháp; việc chuyển giao chỉ thực hiện khi hết thời hạn hoặc khi dự án không được gia hạn theo hồ sơ pháp lý của dự án. </w:t>
            </w:r>
          </w:p>
          <w:p w14:paraId="7D47DAB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xuất chuyển tiếp: Dự án đã được cấp phép trước ngày Bộ luật có hiệu lực phải tiếp tục thực hiện theo quyết định chủ trương đầu tư, giấy chứng nhận đăng ký đầu tư, hợp đồng thuê đất, hợp đồng dự án hoặc văn bản pháp lý đã được cấp; cơ chế chuyển giao/gia hạn mới chỉ áp dụng đối với phần gia hạn hoặc phần đầu tư bổ sung sau ngày Bộ luật có hiệu lực, trừ khi nhà đầu tư tự nguyện lựa chọn áp dụng. </w:t>
            </w:r>
          </w:p>
          <w:p w14:paraId="489DC9B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Diễn giải: Đây là điều có tác động đặc biệt lớn đến doanh nghiệp đầu tư, quản lý. khai thác bến cảng biển. PA1 làm tăng rủi ro mất quyền khai thác khi hết hạn và có thể làm giảm động lực đầu tư dài hạn, đặc biệt ở giai đoạn cuối vòng đời dự án. PA2 phù hợp hơn với mục tiêu thu hút nguồn lực ngoài nhà nước, bảo vệ quyền tài sản, khuyến khích nâng cấp, hiện đại hóa hạ tầng.</w:t>
            </w:r>
          </w:p>
        </w:tc>
        <w:tc>
          <w:tcPr>
            <w:tcW w:w="2793" w:type="dxa"/>
            <w:vAlign w:val="center"/>
          </w:tcPr>
          <w:p w14:paraId="685120DD" w14:textId="71FC18A2" w:rsidR="005E54B6" w:rsidRPr="000F1EC3" w:rsidRDefault="0081493C" w:rsidP="005E54B6">
            <w:pPr>
              <w:spacing w:before="20" w:after="20"/>
              <w:jc w:val="both"/>
              <w:rPr>
                <w:rFonts w:ascii="Times New Roman" w:hAnsi="Times New Roman"/>
                <w:b/>
                <w:bCs/>
                <w:sz w:val="22"/>
                <w:szCs w:val="22"/>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5E06876" w14:textId="77777777" w:rsidTr="001B580E">
        <w:trPr>
          <w:gridAfter w:val="1"/>
          <w:wAfter w:w="8" w:type="dxa"/>
        </w:trPr>
        <w:tc>
          <w:tcPr>
            <w:tcW w:w="914" w:type="dxa"/>
            <w:vAlign w:val="center"/>
          </w:tcPr>
          <w:p w14:paraId="7C9016A5"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3EC1A616"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260D746F" w14:textId="77777777" w:rsidR="0081493C" w:rsidRPr="000F1EC3" w:rsidRDefault="0081493C" w:rsidP="0081493C">
            <w:pPr>
              <w:spacing w:before="20" w:after="20"/>
              <w:jc w:val="center"/>
              <w:rPr>
                <w:rFonts w:ascii="Times New Roman" w:hAnsi="Times New Roman"/>
                <w:b/>
                <w:bCs/>
                <w:sz w:val="24"/>
              </w:rPr>
            </w:pPr>
            <w:r w:rsidRPr="000F1EC3">
              <w:rPr>
                <w:rFonts w:ascii="Times New Roman" w:hAnsi="Times New Roman"/>
                <w:b/>
                <w:bCs/>
                <w:sz w:val="24"/>
              </w:rPr>
              <w:t>ĐBQH Tây Ninh (văn bản số 106/DBQH-CTQH ngày 13/5/2026)</w:t>
            </w:r>
          </w:p>
        </w:tc>
        <w:tc>
          <w:tcPr>
            <w:tcW w:w="8872" w:type="dxa"/>
            <w:vAlign w:val="center"/>
          </w:tcPr>
          <w:p w14:paraId="6D388304"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xem xét lựa chọn Phương án 2 về xem xét gia hạn có điều kiện. Lý do: Phương án 2 sẽ giúp tận dụng nguồn lực, kinh nghiệm của nhà đầu tư hiện hữu, đồng thời tạo cơ chế để Nhà nước yêu cầu họ phải hiện đại hóa, chuyển đổi số và phát triển cảng xanh nếu muốn được gia hạn. Điều này phù hợp với định hướng phát triển bền vững và hội nhập quốc tế.</w:t>
            </w:r>
          </w:p>
        </w:tc>
        <w:tc>
          <w:tcPr>
            <w:tcW w:w="2793" w:type="dxa"/>
          </w:tcPr>
          <w:p w14:paraId="2C070F3D" w14:textId="08BB28AE"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7CDD536A" w14:textId="77777777" w:rsidTr="001B580E">
        <w:trPr>
          <w:gridAfter w:val="1"/>
          <w:wAfter w:w="8" w:type="dxa"/>
        </w:trPr>
        <w:tc>
          <w:tcPr>
            <w:tcW w:w="914" w:type="dxa"/>
            <w:vAlign w:val="center"/>
          </w:tcPr>
          <w:p w14:paraId="2D142D6B"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7A1F1E56"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16DBB97D"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Sở Xây dựng Vĩnh Long (văn bản số 3079/SXD-VTAT ngày 11/5/2026)</w:t>
            </w:r>
          </w:p>
        </w:tc>
        <w:tc>
          <w:tcPr>
            <w:tcW w:w="8872" w:type="dxa"/>
            <w:vAlign w:val="center"/>
          </w:tcPr>
          <w:p w14:paraId="0667A7C9"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1 (không nêu lý do)</w:t>
            </w:r>
          </w:p>
        </w:tc>
        <w:tc>
          <w:tcPr>
            <w:tcW w:w="2793" w:type="dxa"/>
          </w:tcPr>
          <w:p w14:paraId="519C8669" w14:textId="0F1457C2"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514A0BAC" w14:textId="77777777" w:rsidTr="001B580E">
        <w:trPr>
          <w:gridAfter w:val="1"/>
          <w:wAfter w:w="8" w:type="dxa"/>
        </w:trPr>
        <w:tc>
          <w:tcPr>
            <w:tcW w:w="914" w:type="dxa"/>
            <w:vAlign w:val="center"/>
          </w:tcPr>
          <w:p w14:paraId="51D61194"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1C6D2F36"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23B8F94B"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Sở Xây dựng Điện Biên (văn bản số 2247/SXD-QLVT&amp;ATGT ngày 11/5/2026)</w:t>
            </w:r>
          </w:p>
        </w:tc>
        <w:tc>
          <w:tcPr>
            <w:tcW w:w="8872" w:type="dxa"/>
            <w:vAlign w:val="center"/>
          </w:tcPr>
          <w:p w14:paraId="0A408173"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Thời hạn hoạt động và chuyển giao dự án đầu tư xây dựng bến cảng biển; đề nghị lựa chọn phương án 2 theo hướng hết thời hạn hoạt động của dự án được xem xét gia hạn có điều kiện nhằm bảo đảm tính khả thi trong thực tiễn triển khai các dự án, thu hút nguồn lực xã hội hóa phát triển kết cấu hạ tầng cảng biển.</w:t>
            </w:r>
          </w:p>
        </w:tc>
        <w:tc>
          <w:tcPr>
            <w:tcW w:w="2793" w:type="dxa"/>
          </w:tcPr>
          <w:p w14:paraId="67B2CC07" w14:textId="4BAC3F9C"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30F3F6F8" w14:textId="77777777" w:rsidTr="001B580E">
        <w:trPr>
          <w:gridAfter w:val="1"/>
          <w:wAfter w:w="8" w:type="dxa"/>
        </w:trPr>
        <w:tc>
          <w:tcPr>
            <w:tcW w:w="914" w:type="dxa"/>
            <w:vAlign w:val="center"/>
          </w:tcPr>
          <w:p w14:paraId="20AEAB3D"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67EC1042"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6638B0A8"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ĐBQH Thanh Hóa (văn bản số 69/BC-ĐBQH ngày 8/5/2026)</w:t>
            </w:r>
          </w:p>
        </w:tc>
        <w:tc>
          <w:tcPr>
            <w:tcW w:w="8872" w:type="dxa"/>
            <w:vAlign w:val="center"/>
          </w:tcPr>
          <w:p w14:paraId="27DE0077"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2 theo hướng xem xét gia hạn có điều kiện đối với dự án đầu tư xây dựng bến cảng biển khi hết thời hạn hoạt động nhằm bảo đảm tính ổn định của môi trường đầu tư, phù hợp đặc thù đầu tư kết cấu hạ tầng cảng biển có quy mô lớn, thời gian thu hồi vốn dài; đồng thời vẫn bảo đảm vai trò quản lý, đại diện chủ sở hữu của Nhà nước đối với đất, vùng nước và kết cấu hạ tầng cảng biển. Bên cạnh đó, đề nghị tiếp tục rà soát, hoàn thiện các tiêu chí gia hạn, cơ chế chia sẻ lợi ích và nguyên tắc lựa chọn nhà đầu tư để bảo đảm công khai, minh bạch, cạnh tranh, tránh phát sinh cơ chế xin - cho trong quá trình thực hiện</w:t>
            </w:r>
          </w:p>
        </w:tc>
        <w:tc>
          <w:tcPr>
            <w:tcW w:w="2793" w:type="dxa"/>
          </w:tcPr>
          <w:p w14:paraId="0AC48A22" w14:textId="2A112CDF"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2875E893" w14:textId="77777777" w:rsidTr="001B580E">
        <w:trPr>
          <w:gridAfter w:val="1"/>
          <w:wAfter w:w="8" w:type="dxa"/>
        </w:trPr>
        <w:tc>
          <w:tcPr>
            <w:tcW w:w="914" w:type="dxa"/>
            <w:vAlign w:val="center"/>
          </w:tcPr>
          <w:p w14:paraId="1A565FEA"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7EAA42FC"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64D8B97A"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Sở Xây dựng Gia Lai (văn bản số 3648/SXD-GT ngày 11/5/2026)</w:t>
            </w:r>
          </w:p>
        </w:tc>
        <w:tc>
          <w:tcPr>
            <w:tcW w:w="8872" w:type="dxa"/>
            <w:vAlign w:val="center"/>
          </w:tcPr>
          <w:p w14:paraId="695067F1"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PA 2: Quy định cơ chế gia hạn có điều kiện, cho phép tiếp tục khai thác khi dự án đáp ứng yêu cầu về quy hoạch, hiệu quả, môi trường, quốc phòng, an ninh và nghĩa vụ tài chính. Cách tiếp cận này tạo động lực cho nhà đầu tư nâng cấp, hiện đại hóa công trình, duy trì hiệu quả khai thác; tạo động lực đầu tư cho nhà đầu tư.</w:t>
            </w:r>
          </w:p>
        </w:tc>
        <w:tc>
          <w:tcPr>
            <w:tcW w:w="2793" w:type="dxa"/>
          </w:tcPr>
          <w:p w14:paraId="4CB07499" w14:textId="334C4109"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6CEF262F" w14:textId="77777777" w:rsidTr="001B580E">
        <w:trPr>
          <w:gridAfter w:val="1"/>
          <w:wAfter w:w="8" w:type="dxa"/>
        </w:trPr>
        <w:tc>
          <w:tcPr>
            <w:tcW w:w="914" w:type="dxa"/>
            <w:vAlign w:val="center"/>
          </w:tcPr>
          <w:p w14:paraId="4E6824D2"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0C5968D4"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5D174D01"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Sở Xây dựng Hà Tĩnh (văn bản số 2546/SXD-QLVT ngày 11/5/2026)</w:t>
            </w:r>
          </w:p>
        </w:tc>
        <w:tc>
          <w:tcPr>
            <w:tcW w:w="8872" w:type="dxa"/>
            <w:vAlign w:val="center"/>
          </w:tcPr>
          <w:p w14:paraId="61F1FDD9"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2</w:t>
            </w:r>
          </w:p>
          <w:p w14:paraId="1BA4498C"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Lý do: Nhằm bảo đảm tính linh hoạt giữa yêu cầu quản lý nhà nước đối với kết cấu hạ tầng cảng biển với yêu cầu ổn định môi trường đầu tư, khai thác hiệu quả tài sản hạ tầng và thu hút nguồn lực xã hội hóa đầu tư phát triển cảng biển. Bảo đảm Nhà nước tiếp tục giữ vai trò quản lý, đồng thời tạo cơ chế xem xét gia hạn có điều kiện đối với các dự án hoạt động hiệu quả, theo đúng quy định của pháp luật.</w:t>
            </w:r>
          </w:p>
        </w:tc>
        <w:tc>
          <w:tcPr>
            <w:tcW w:w="2793" w:type="dxa"/>
          </w:tcPr>
          <w:p w14:paraId="08A63FED" w14:textId="0F67D37C"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13543FEA" w14:textId="77777777" w:rsidTr="001B580E">
        <w:trPr>
          <w:gridAfter w:val="1"/>
          <w:wAfter w:w="8" w:type="dxa"/>
        </w:trPr>
        <w:tc>
          <w:tcPr>
            <w:tcW w:w="914" w:type="dxa"/>
            <w:vAlign w:val="center"/>
          </w:tcPr>
          <w:p w14:paraId="2D98D708"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5B7E0E6B"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0DFC07C6"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Sở Xây dựng Quảng Ngãi (văn bản số 3329/SXD-ATGT ngày 12/5/2026)</w:t>
            </w:r>
          </w:p>
        </w:tc>
        <w:tc>
          <w:tcPr>
            <w:tcW w:w="8872" w:type="dxa"/>
            <w:vAlign w:val="center"/>
          </w:tcPr>
          <w:p w14:paraId="18C2F5CC"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xuất chọn Phương án 2 (hết thời hạn → xem xét gia hạn có điều kiện), vì nội dung này bảo đảm hài hòa lợi ích giữa Nhà nước và nhà đầu tư; đồng thời phù hợp với thực tiễn quản lý, khai thác kết cấu hạ tầng bến cảng biển có tính đặc thù, yêu cầu vốn đầu tư lớn, thời gian thu hồi vốn dài.</w:t>
            </w:r>
          </w:p>
        </w:tc>
        <w:tc>
          <w:tcPr>
            <w:tcW w:w="2793" w:type="dxa"/>
          </w:tcPr>
          <w:p w14:paraId="0A5C55CD" w14:textId="122F164D"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604534E1" w14:textId="77777777" w:rsidTr="001B580E">
        <w:trPr>
          <w:gridAfter w:val="1"/>
          <w:wAfter w:w="8" w:type="dxa"/>
        </w:trPr>
        <w:tc>
          <w:tcPr>
            <w:tcW w:w="914" w:type="dxa"/>
            <w:vAlign w:val="center"/>
          </w:tcPr>
          <w:p w14:paraId="2224AE74"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744565B0"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255B1111"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Sở Xây dựng Hưng Yên (văn bản số 2188/SXD-QLKCHT ngày 12/5/2026)</w:t>
            </w:r>
          </w:p>
        </w:tc>
        <w:tc>
          <w:tcPr>
            <w:tcW w:w="8872" w:type="dxa"/>
            <w:vAlign w:val="center"/>
          </w:tcPr>
          <w:p w14:paraId="31AA8408"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Lựa chọn phương án 2 (không nêu lý do)</w:t>
            </w:r>
          </w:p>
        </w:tc>
        <w:tc>
          <w:tcPr>
            <w:tcW w:w="2793" w:type="dxa"/>
          </w:tcPr>
          <w:p w14:paraId="7597EBFD" w14:textId="33774D35"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1C8527D" w14:textId="77777777" w:rsidTr="001B580E">
        <w:trPr>
          <w:gridAfter w:val="1"/>
          <w:wAfter w:w="8" w:type="dxa"/>
        </w:trPr>
        <w:tc>
          <w:tcPr>
            <w:tcW w:w="914" w:type="dxa"/>
            <w:vAlign w:val="center"/>
          </w:tcPr>
          <w:p w14:paraId="5A0A9233" w14:textId="77777777" w:rsidR="0081493C" w:rsidRPr="000F1EC3" w:rsidRDefault="0081493C" w:rsidP="0081493C">
            <w:pPr>
              <w:spacing w:before="20" w:after="20"/>
              <w:jc w:val="both"/>
              <w:rPr>
                <w:rFonts w:ascii="Times New Roman" w:hAnsi="Times New Roman"/>
                <w:b/>
                <w:bCs/>
                <w:sz w:val="24"/>
              </w:rPr>
            </w:pPr>
          </w:p>
        </w:tc>
        <w:tc>
          <w:tcPr>
            <w:tcW w:w="992" w:type="dxa"/>
            <w:vMerge/>
            <w:vAlign w:val="center"/>
          </w:tcPr>
          <w:p w14:paraId="62978F08"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6B57244F"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0918D4F4"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18AE37A3"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Phương án 2, lý do: bảo đảm tính linh hoạt hơn về thời hạn hoạt động của dự án, phù hợp với đặc thù đầu tư hạ tầng cảng biển có vốn lớn, thời gian thu hồi vốn dài</w:t>
            </w:r>
          </w:p>
        </w:tc>
        <w:tc>
          <w:tcPr>
            <w:tcW w:w="2793" w:type="dxa"/>
          </w:tcPr>
          <w:p w14:paraId="6E991505" w14:textId="51778A25"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81493C" w:rsidRPr="000F1EC3" w14:paraId="054EB522" w14:textId="77777777" w:rsidTr="001B580E">
        <w:trPr>
          <w:gridAfter w:val="1"/>
          <w:wAfter w:w="8" w:type="dxa"/>
        </w:trPr>
        <w:tc>
          <w:tcPr>
            <w:tcW w:w="914" w:type="dxa"/>
            <w:vAlign w:val="center"/>
          </w:tcPr>
          <w:p w14:paraId="7D1127A6" w14:textId="77777777" w:rsidR="0081493C" w:rsidRPr="000F1EC3" w:rsidRDefault="0081493C" w:rsidP="0081493C">
            <w:pPr>
              <w:spacing w:before="20" w:after="20"/>
              <w:jc w:val="both"/>
              <w:rPr>
                <w:rFonts w:ascii="Times New Roman" w:hAnsi="Times New Roman"/>
                <w:b/>
                <w:bCs/>
                <w:sz w:val="24"/>
              </w:rPr>
            </w:pPr>
          </w:p>
        </w:tc>
        <w:tc>
          <w:tcPr>
            <w:tcW w:w="992" w:type="dxa"/>
            <w:vAlign w:val="center"/>
          </w:tcPr>
          <w:p w14:paraId="162B0BE3" w14:textId="77777777" w:rsidR="0081493C" w:rsidRPr="000F1EC3" w:rsidRDefault="0081493C" w:rsidP="0081493C">
            <w:pPr>
              <w:spacing w:before="20" w:after="20"/>
              <w:jc w:val="both"/>
              <w:rPr>
                <w:rFonts w:ascii="Times New Roman" w:hAnsi="Times New Roman"/>
                <w:b/>
                <w:bCs/>
                <w:sz w:val="24"/>
              </w:rPr>
            </w:pPr>
          </w:p>
        </w:tc>
        <w:tc>
          <w:tcPr>
            <w:tcW w:w="1620" w:type="dxa"/>
            <w:vAlign w:val="center"/>
          </w:tcPr>
          <w:p w14:paraId="0C73C255" w14:textId="77777777" w:rsidR="0081493C" w:rsidRPr="000F1EC3" w:rsidRDefault="0081493C" w:rsidP="0081493C">
            <w:pPr>
              <w:spacing w:before="20" w:after="20"/>
              <w:jc w:val="center"/>
              <w:rPr>
                <w:rFonts w:ascii="Times New Roman" w:hAnsi="Times New Roman"/>
                <w:b/>
                <w:sz w:val="24"/>
              </w:rPr>
            </w:pPr>
            <w:r w:rsidRPr="000F1EC3">
              <w:rPr>
                <w:rFonts w:ascii="Times New Roman" w:hAnsi="Times New Roman"/>
                <w:b/>
                <w:bCs/>
                <w:sz w:val="24"/>
              </w:rPr>
              <w:t>Đoàn ĐHQH Lào Cai (văn bản số 24-BC/DBQH ngày 11/5/2026)</w:t>
            </w:r>
          </w:p>
        </w:tc>
        <w:tc>
          <w:tcPr>
            <w:tcW w:w="8872" w:type="dxa"/>
            <w:vAlign w:val="center"/>
          </w:tcPr>
          <w:p w14:paraId="4FF2F990" w14:textId="77777777" w:rsidR="0081493C" w:rsidRPr="000F1EC3" w:rsidRDefault="0081493C" w:rsidP="0081493C">
            <w:pPr>
              <w:spacing w:before="20" w:after="20"/>
              <w:jc w:val="both"/>
              <w:rPr>
                <w:rFonts w:ascii="Times New Roman" w:hAnsi="Times New Roman"/>
                <w:sz w:val="24"/>
              </w:rPr>
            </w:pPr>
            <w:r w:rsidRPr="000F1EC3">
              <w:rPr>
                <w:rFonts w:ascii="Times New Roman" w:hAnsi="Times New Roman"/>
                <w:sz w:val="24"/>
              </w:rPr>
              <w:t>Đề nghị lựa chọn PA 2. Lý do: Khi đầu tư vào đường thủy thường có rủi ro cao, thời gian thu hồi vốn dài nhất là đối với các địa phương miền núi, biên giới như tỉnh Lào Cai có điều kiện thủy văn khắc nghiệt. Nếu áp dụng phương án 1 (thu hồi nguyên trạng không bồi hoàn sau khi hết hạn) thì các nhà đầu tư sẽ có tâm lý e ngại, dẫn đến tình trạng khai thác tận thu và không tái đầu tư nâng cấp trong những năm cuối của dự án. Quy định theo Phương án 2 sẽ tạo thêm động lực để doanh nghiệp yên tâm đầu tư dài hạn, chuyển đổi xanh và cảng thông minh theo đúng định hướng của Bộ luật. Trên đây là ý kiến tham gia vào hồ sơ dự án Bộ luật Hàng hải và Đường thủy nội địa Việt Nam (sửa đổi), Đoàn, các đại biểu Quốc hội tiếp tục nghiên cứu và có ý kiến góp ý xây dựng dự án luật này tại kỳ họp Quốc hội.</w:t>
            </w:r>
          </w:p>
        </w:tc>
        <w:tc>
          <w:tcPr>
            <w:tcW w:w="2793" w:type="dxa"/>
          </w:tcPr>
          <w:p w14:paraId="375CFC7A" w14:textId="71FB9810" w:rsidR="0081493C" w:rsidRPr="000F1EC3" w:rsidRDefault="0081493C" w:rsidP="0081493C">
            <w:pPr>
              <w:spacing w:before="20" w:after="20"/>
              <w:jc w:val="both"/>
              <w:rPr>
                <w:rFonts w:ascii="Times New Roman" w:hAnsi="Times New Roman"/>
                <w:b/>
                <w:bCs/>
                <w:sz w:val="24"/>
              </w:rPr>
            </w:pPr>
            <w:r w:rsidRPr="000F1EC3">
              <w:rPr>
                <w:rFonts w:ascii="Times New Roman" w:hAnsi="Times New Roman"/>
                <w:sz w:val="24"/>
              </w:rPr>
              <w:t>Đối với các Điều, khoản đề xuất 02 phương án tại Chương II dự thảo xin ý kiến, cơ quan chủ trì soạn thảo đã thực hiện rà soát, chỉnh sửa theo hướng sửa đổi, bổ sung các quy định chỉ mang tính nguyên tắc, các nội dung chi tiết được chuyển quy định tại văn bản hướng dẫn thi hành.</w:t>
            </w:r>
          </w:p>
        </w:tc>
      </w:tr>
      <w:tr w:rsidR="005E54B6" w:rsidRPr="000F1EC3" w14:paraId="7BDA289C" w14:textId="77777777" w:rsidTr="001B580E">
        <w:trPr>
          <w:gridAfter w:val="1"/>
          <w:wAfter w:w="8" w:type="dxa"/>
        </w:trPr>
        <w:tc>
          <w:tcPr>
            <w:tcW w:w="914" w:type="dxa"/>
            <w:vAlign w:val="center"/>
          </w:tcPr>
          <w:p w14:paraId="3787808A"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645B07E5"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41</w:t>
            </w:r>
          </w:p>
        </w:tc>
        <w:tc>
          <w:tcPr>
            <w:tcW w:w="1620" w:type="dxa"/>
            <w:vAlign w:val="center"/>
          </w:tcPr>
          <w:p w14:paraId="134ACD43"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Gia Lai (văn bản số 3648/SXD-GT ngày 11/5/2026)</w:t>
            </w:r>
          </w:p>
        </w:tc>
        <w:tc>
          <w:tcPr>
            <w:tcW w:w="8872" w:type="dxa"/>
            <w:vAlign w:val="center"/>
          </w:tcPr>
          <w:p w14:paraId="37B13A7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Nội dung của Điều 41 chỉ quy định về kết cấu hạ tầng hàng hải; do đó, đề nghị bổ sung các quy định về khai thác kết cấu hạ tầng thủy nội địa được đầu tư bằng ngân sách nhà nước.</w:t>
            </w:r>
          </w:p>
        </w:tc>
        <w:tc>
          <w:tcPr>
            <w:tcW w:w="2793" w:type="dxa"/>
            <w:vAlign w:val="center"/>
          </w:tcPr>
          <w:p w14:paraId="251D9B43" w14:textId="6F7FD9D8"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t>Nội dung đã được nghiên cứu, rà soát, quy định tại Điều 19 dự thảo.</w:t>
            </w:r>
          </w:p>
        </w:tc>
      </w:tr>
      <w:tr w:rsidR="005E54B6" w:rsidRPr="000F1EC3" w14:paraId="22C235EC" w14:textId="77777777" w:rsidTr="001B580E">
        <w:trPr>
          <w:gridAfter w:val="1"/>
          <w:wAfter w:w="8" w:type="dxa"/>
        </w:trPr>
        <w:tc>
          <w:tcPr>
            <w:tcW w:w="914" w:type="dxa"/>
            <w:vAlign w:val="center"/>
          </w:tcPr>
          <w:p w14:paraId="7B54EF9D"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04795F7D"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3F50DED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Đắc Lắc (văn bản số 121/ĐBQH-VP ngày 13/5/2026)</w:t>
            </w:r>
          </w:p>
        </w:tc>
        <w:tc>
          <w:tcPr>
            <w:tcW w:w="8872" w:type="dxa"/>
            <w:vAlign w:val="center"/>
          </w:tcPr>
          <w:p w14:paraId="1C8243F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Dự thảo mới chỉ bước đầu xác lập các nguyên tắc chung về phân định trách nhiệm quản lý, khai thác kết cấu hạ tầng đối với các công trình được đầu tư từ nguồn vốn ngân sách nhà nước và nguồn vốn ngoài ngân sách tại Điều 41 và Điều 42, nhưng chưa có quy định cụ thể về cơ chế thu, quản lý và phân chia nguồn thu phí hàng hải đối với các tuyến luồng được khai thác chung. Để khắc phục bất cập đã nêu trên, đề nghị cơ quan soạn thảo nghiên cứu bổ sung quy định cụ thể tại Điều 41 hoặc Điều 42 theo hướng: </w:t>
            </w:r>
          </w:p>
          <w:p w14:paraId="4C76FEE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Đề nghị bổ sung quy định về nguyên tắc phân chia nguồn thu phí bảo đảm hàng hải đối với trường hợp tàu thuyền sử dụng đồng thời luồng hàng hải công cộng và luồng chuyên dùng. Đồng thời, đề nghị giao Chính phủ quy định chi tiết cơ chế thực hiện nhằm bảo đảm tính minh bạch, thống nhất và khả thi trong quá trình áp dụng. </w:t>
            </w:r>
          </w:p>
          <w:p w14:paraId="0C1CB98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Quy định làm rõ thẩm quyền thu, quản lý, điều tiết nguồn thu phí bảo đảm hàng hải đối với các tuyến luồng chuyên dùng có kết nối với luồng hàng hải công cộng; đồng thời xác định rõ trách nhiệm của cơ quan cảng vụ hàng hải và doanh nghiệp khai thác luồng chuyên dùng trong tổ chức thu, quản lý, sử dụng nguồn thu nhằm bảo đảm minh bạch, tránh chồng chéo trách nhiệm.</w:t>
            </w:r>
          </w:p>
        </w:tc>
        <w:tc>
          <w:tcPr>
            <w:tcW w:w="2793" w:type="dxa"/>
            <w:vAlign w:val="center"/>
          </w:tcPr>
          <w:p w14:paraId="45066E4C" w14:textId="0C659CA6" w:rsidR="005E54B6" w:rsidRPr="000F1EC3" w:rsidRDefault="0081493C" w:rsidP="005E54B6">
            <w:pPr>
              <w:spacing w:before="20" w:after="20"/>
              <w:jc w:val="both"/>
              <w:rPr>
                <w:rFonts w:ascii="Times New Roman" w:hAnsi="Times New Roman"/>
                <w:b/>
                <w:bCs/>
                <w:sz w:val="24"/>
              </w:rPr>
            </w:pPr>
            <w:r w:rsidRPr="000F1EC3">
              <w:rPr>
                <w:rFonts w:ascii="Times New Roman" w:hAnsi="Times New Roman"/>
                <w:sz w:val="24"/>
              </w:rPr>
              <w:t>Nội dung đã được nghiên cứu, rà soát, quy định tại Điều 19 dự thảo.</w:t>
            </w:r>
          </w:p>
        </w:tc>
      </w:tr>
      <w:tr w:rsidR="005E54B6" w:rsidRPr="000F1EC3" w14:paraId="4AAABE72" w14:textId="77777777" w:rsidTr="001B580E">
        <w:trPr>
          <w:gridAfter w:val="1"/>
          <w:wAfter w:w="8" w:type="dxa"/>
        </w:trPr>
        <w:tc>
          <w:tcPr>
            <w:tcW w:w="914" w:type="dxa"/>
            <w:vAlign w:val="center"/>
          </w:tcPr>
          <w:p w14:paraId="0F9B702F"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592B7F8F"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74C96B89"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 xml:space="preserve">ĐBQH Ninh Bình (văn bản số </w:t>
            </w:r>
            <w:r w:rsidRPr="000F1EC3">
              <w:rPr>
                <w:rFonts w:ascii="Times New Roman" w:hAnsi="Times New Roman"/>
                <w:b/>
                <w:sz w:val="24"/>
              </w:rPr>
              <w:t>58/ĐDBQH-VP ngày 11/5/2026</w:t>
            </w:r>
            <w:r w:rsidRPr="000F1EC3">
              <w:rPr>
                <w:rFonts w:ascii="Times New Roman" w:hAnsi="Times New Roman"/>
                <w:b/>
                <w:bCs/>
                <w:sz w:val="24"/>
              </w:rPr>
              <w:t>)</w:t>
            </w:r>
          </w:p>
        </w:tc>
        <w:tc>
          <w:tcPr>
            <w:tcW w:w="8872" w:type="dxa"/>
            <w:vAlign w:val="center"/>
          </w:tcPr>
          <w:p w14:paraId="6E2F57C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Trong tờ trình của Chính phủ đề nghị xây dựng Bộ luật Hàng hải và Đường thủy Việt Nam (sửa đổi) đã chỉ ra một số bất cập của Bộ luật Hàng hải Việt Nam 2015, trong đó có việc chưa xác định rõ trách nhiệm quản lý và cơ chế tài chính đối với các tuyến luồng chuyên dùng do doanh nghiệp đầu tư nhưng có kết nối với luồng hàng hải công cộng. Tuy nhiên, qua nghiên cứu cho thấy các quy định trong dự thảo hiện nay vẫn chưa có quy định đủ rõ để giải quyết những vướng mắc này.</w:t>
            </w:r>
          </w:p>
          <w:p w14:paraId="2946AA6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Dự thảo mới chỉ bước đầu xác lập các nguyên tắc chung về phân định trách nhiệm quản lý, khai thác kết cấu hạ tầng đối với các công trình được đầu tư từ nguồn vốn ngân sách nhà nước và nguồn vốn ngoài ngân sách tại Điều 41 và Điều 42, nhưng chưa có quy định cụ thể về cơ chế thu, quản lý và phân chia nguồn thu phí hàng hải đối với các tuyến luồng được khai thác chung.</w:t>
            </w:r>
          </w:p>
          <w:p w14:paraId="170343A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Để khắc phục bất cập đã nêu trên, đề nghị cơ quan soạn thảo nghiên cứu bổ sung quy định cụ thể tại Điều 41 hoặc Điều 42 theo hướng:</w:t>
            </w:r>
          </w:p>
          <w:p w14:paraId="73470D2B" w14:textId="77777777" w:rsidR="005E54B6" w:rsidRPr="000F1EC3" w:rsidRDefault="005E54B6" w:rsidP="005E54B6">
            <w:pPr>
              <w:spacing w:before="20" w:after="20"/>
              <w:ind w:left="567"/>
              <w:jc w:val="both"/>
              <w:rPr>
                <w:rFonts w:ascii="Times New Roman" w:hAnsi="Times New Roman"/>
                <w:sz w:val="24"/>
              </w:rPr>
            </w:pPr>
            <w:r w:rsidRPr="000F1EC3">
              <w:rPr>
                <w:rFonts w:ascii="Times New Roman" w:hAnsi="Times New Roman"/>
                <w:sz w:val="24"/>
              </w:rPr>
              <w:t>- Đề nghị bổ sung quy định về nguyên tắc phân chia nguồn thu phí bảo đảm hàng hải đối với trường hợp tàu thuyền sử dụng đồng thời luồng hàng hải công cộng và luồng chuyên dùng. Đồng thời, đề nghị giao Chính phủ quy định chi tiết cơ chế thực hiện nhằm bảo đảm tính minh bạch, thống nhất và khả thi trong quá trình áp dụng.</w:t>
            </w:r>
          </w:p>
          <w:p w14:paraId="07D130F9" w14:textId="77777777" w:rsidR="005E54B6" w:rsidRPr="000F1EC3" w:rsidRDefault="005E54B6" w:rsidP="005E54B6">
            <w:pPr>
              <w:spacing w:before="20" w:after="20"/>
              <w:ind w:left="567"/>
              <w:jc w:val="both"/>
              <w:rPr>
                <w:rFonts w:ascii="Times New Roman" w:hAnsi="Times New Roman"/>
                <w:sz w:val="24"/>
              </w:rPr>
            </w:pPr>
            <w:r w:rsidRPr="000F1EC3">
              <w:rPr>
                <w:rFonts w:ascii="Times New Roman" w:hAnsi="Times New Roman"/>
                <w:sz w:val="24"/>
              </w:rPr>
              <w:t>- Quy định làm rõ thẩm quyền thu, quản lý, điều tiết nguồn thu phí bảo đảm hàng hải đối với các tuyến luồng chuyên dùng có kết nối với luồng hàng hải công cộng; đồng thời xác định rõ trách nhiệm của cơ quan cảng vụ hàng hải và doanh nghiệp khai thác luồng chuyên dùng trong tổ chức thu, quản lý, sử dụng nguồn thu nhằm bảo đảm minh bạch, tránh chồng chéo trách nhiệm.</w:t>
            </w:r>
          </w:p>
        </w:tc>
        <w:tc>
          <w:tcPr>
            <w:tcW w:w="2793" w:type="dxa"/>
            <w:vAlign w:val="center"/>
          </w:tcPr>
          <w:p w14:paraId="7F5067CA" w14:textId="7F8AD5B3" w:rsidR="005E54B6" w:rsidRPr="000F1EC3" w:rsidRDefault="0081493C" w:rsidP="005E54B6">
            <w:pPr>
              <w:spacing w:before="20" w:after="20"/>
              <w:jc w:val="both"/>
              <w:rPr>
                <w:rFonts w:ascii="Times New Roman" w:hAnsi="Times New Roman"/>
                <w:b/>
                <w:bCs/>
                <w:sz w:val="24"/>
              </w:rPr>
            </w:pPr>
            <w:r w:rsidRPr="000F1EC3">
              <w:rPr>
                <w:rFonts w:ascii="Times New Roman" w:hAnsi="Times New Roman"/>
                <w:sz w:val="24"/>
              </w:rPr>
              <w:t>Nội dung đã được nghiên cứu, rà soát, quy định tại Điều 19 dự thảo.</w:t>
            </w:r>
          </w:p>
        </w:tc>
      </w:tr>
      <w:tr w:rsidR="005E54B6" w:rsidRPr="000F1EC3" w14:paraId="701043DD" w14:textId="77777777" w:rsidTr="001B580E">
        <w:trPr>
          <w:gridAfter w:val="1"/>
          <w:wAfter w:w="8" w:type="dxa"/>
        </w:trPr>
        <w:tc>
          <w:tcPr>
            <w:tcW w:w="914" w:type="dxa"/>
            <w:vAlign w:val="center"/>
          </w:tcPr>
          <w:p w14:paraId="1359043E"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5904766B"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42</w:t>
            </w:r>
          </w:p>
        </w:tc>
        <w:tc>
          <w:tcPr>
            <w:tcW w:w="1620" w:type="dxa"/>
            <w:vAlign w:val="center"/>
          </w:tcPr>
          <w:p w14:paraId="1B3FD40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7AB6766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Khai thác kết cấu hạ tầng đầu tư ngoài ngân sách nhà nước Đề xuất: Cần chuyển từ cơ chế “xem xét hoàn trả một phần” sang cơ chế bảo đảm hoàn trả giá trị đầu tư còn lại chưa thu hồi, nếu Nhà nước chuyển hạ tầng do doanh nghiệp đầu tư thành hạ t ng công cộng trước khi doanh nghiệp thu hồi đủ vốn. </w:t>
            </w:r>
          </w:p>
          <w:p w14:paraId="44E9F19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Diễn giải: Quy định hiện nay viết: “được chuyển thành kết cấu hạ tầng công cộng theo quy hoạch... và được xem xét hoàn trả một phần vốn đầu tư (nếu có)”. Cách viết này tạo rủi ro vì doanh nghiệp đầu tư bằng vốn của mình nhưng khi hạ tầng bị chuyển thành công cộng thì không có bảo đảm chắc chắn được hoàn trả đầy đủ phần vốn chưa thu hồi. Cụ thể:</w:t>
            </w:r>
          </w:p>
          <w:p w14:paraId="5DE5038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Thứ nhất, “được xem xét” là không chắc chắn, cụm từ “được xem xét hoàn trả” không tạo quyền rõ ràng cho doanh nghiệp. Cơ quan nhà nước có thể xem xét nhưng không nhất thiết phải hoàn trả. Như vậy, doanh nghiệp không có cơ sở pháp lý chắc chắn để tính toán phương án tài chính, thời gian hoàn vốn, IRR, dòng tiền và nghĩa vụ trả nợ vay. Đối với hạ tầng </w:t>
            </w:r>
            <w:r w:rsidRPr="000F1EC3">
              <w:rPr>
                <w:rFonts w:ascii="Times New Roman" w:hAnsi="Times New Roman"/>
                <w:sz w:val="24"/>
              </w:rPr>
              <w:lastRenderedPageBreak/>
              <w:t xml:space="preserve">như luồng chuyên dùng, khu chuyển tải, vốn đầu tư thường rất lớn, nếu chỉ “xem xét” thì nhà đầu tư và ngân hàng tài trợ vốn sẽ coi đây là rủi ro chính sách cao. </w:t>
            </w:r>
          </w:p>
          <w:p w14:paraId="35C5CA5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Thứ hai, “một phần vốn đầu tư” có thể làm mất vốn hợp pháp, cụm từ “một phần vốn đầu tư” mặc định rằng doanh nghiệp không được hoàn trả toàn bộ phần giá trị chưa thu hồi. Quy định này bất lợi vì có thể xảy ra trường hợp doanh nghiệp mới đầu tư, chưa khai thác đủ thời gian để thu hồi vốn, nhưng hạ tầng được chuyển thành công cộng theo quy hoạch mới và chỉ được hoàn trả một phần. Rủi ro ở đây khộng chỉ là mất vốn đầu tư ban đầu, mà còn mất quyền khai thác, mất dòng tiền dự kiến, mất lợi thế cạnh tranh của cảng/bến mà hạ tầng đó phục vụ. </w:t>
            </w:r>
          </w:p>
          <w:p w14:paraId="7FF0DD3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Thứ ba, bất cân xứng với Điều 41, tại Khoản 4 quy định đối với hạ tầng hình thành từ vốn nhà nước và vốn doanh nghiệp, doanh nghiệp có trách nhiệm hoàn trả vốn đầu tư cho Nhà nước, nhận chuyển giao và khai thác. Như vậy, khi doanh nghiệp nhận phần vốn nhà nước thì phải hoàn trả vốn cho Nhà nước; nhưng khi Nhà nước nhận lại hạ tầng do doanh nghiệp đầu tư thì doanh nghiệp chỉ “được xem xét hoàn trå một phần vốn đầu tư”. Cách tiếp cận này chưa cân bằng, có thể làm giảm niềm tin của nhà đầu tư.</w:t>
            </w:r>
          </w:p>
        </w:tc>
        <w:tc>
          <w:tcPr>
            <w:tcW w:w="2793" w:type="dxa"/>
            <w:vAlign w:val="center"/>
          </w:tcPr>
          <w:p w14:paraId="5664B212" w14:textId="1E661428"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Nội dung đã được nghiên cứu, quy định tại Điều 22 dự thảo.</w:t>
            </w:r>
          </w:p>
        </w:tc>
      </w:tr>
      <w:tr w:rsidR="005E54B6" w:rsidRPr="000F1EC3" w14:paraId="428CD47A" w14:textId="77777777" w:rsidTr="001B580E">
        <w:trPr>
          <w:gridAfter w:val="1"/>
          <w:wAfter w:w="8" w:type="dxa"/>
        </w:trPr>
        <w:tc>
          <w:tcPr>
            <w:tcW w:w="914" w:type="dxa"/>
            <w:vAlign w:val="center"/>
          </w:tcPr>
          <w:p w14:paraId="3B0861A2"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4B965081"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44</w:t>
            </w:r>
          </w:p>
        </w:tc>
        <w:tc>
          <w:tcPr>
            <w:tcW w:w="1620" w:type="dxa"/>
            <w:vAlign w:val="center"/>
          </w:tcPr>
          <w:p w14:paraId="609B37B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3DB5FD17"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09BB346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Đề nghị sửa lại như sau: </w:t>
            </w:r>
          </w:p>
          <w:p w14:paraId="6DD4F242" w14:textId="77777777" w:rsidR="005E54B6" w:rsidRPr="000F1EC3" w:rsidRDefault="005E54B6" w:rsidP="005E54B6">
            <w:pPr>
              <w:spacing w:before="20" w:after="20"/>
              <w:ind w:right="57"/>
              <w:jc w:val="both"/>
              <w:rPr>
                <w:rFonts w:ascii="Times New Roman" w:hAnsi="Times New Roman"/>
                <w:b/>
                <w:bCs/>
                <w:sz w:val="24"/>
              </w:rPr>
            </w:pPr>
            <w:r w:rsidRPr="000F1EC3">
              <w:rPr>
                <w:rFonts w:ascii="Times New Roman" w:hAnsi="Times New Roman"/>
                <w:b/>
                <w:bCs/>
                <w:sz w:val="24"/>
              </w:rPr>
              <w:t>Điều 44. Bảo đảm an toàn hàng hải</w:t>
            </w:r>
          </w:p>
          <w:p w14:paraId="1D5EAE56" w14:textId="77777777" w:rsidR="005E54B6" w:rsidRPr="000F1EC3" w:rsidRDefault="005E54B6" w:rsidP="005E54B6">
            <w:pPr>
              <w:spacing w:before="20" w:after="20"/>
              <w:ind w:right="57"/>
              <w:jc w:val="both"/>
              <w:rPr>
                <w:rFonts w:ascii="Times New Roman" w:hAnsi="Times New Roman"/>
                <w:sz w:val="24"/>
              </w:rPr>
            </w:pPr>
            <w:r w:rsidRPr="000F1EC3">
              <w:rPr>
                <w:rFonts w:ascii="Times New Roman" w:hAnsi="Times New Roman"/>
                <w:sz w:val="24"/>
              </w:rPr>
              <w:t>1. Bảo đảm an toàn hàng hải gồm các hoạt động sau đây:</w:t>
            </w:r>
          </w:p>
          <w:p w14:paraId="5452E37F" w14:textId="77777777" w:rsidR="005E54B6" w:rsidRPr="000F1EC3" w:rsidRDefault="005E54B6" w:rsidP="005E54B6">
            <w:pPr>
              <w:spacing w:before="20" w:after="20"/>
              <w:ind w:right="57"/>
              <w:jc w:val="both"/>
              <w:rPr>
                <w:rFonts w:ascii="Times New Roman" w:hAnsi="Times New Roman"/>
                <w:sz w:val="24"/>
              </w:rPr>
            </w:pPr>
            <w:r w:rsidRPr="000F1EC3">
              <w:rPr>
                <w:rFonts w:ascii="Times New Roman" w:hAnsi="Times New Roman"/>
                <w:sz w:val="24"/>
              </w:rPr>
              <w:t>a) Tổ chức và quản lý bảo đảm an toàn hàng hải;</w:t>
            </w:r>
          </w:p>
          <w:p w14:paraId="0AEE5934" w14:textId="77777777" w:rsidR="005E54B6" w:rsidRPr="000F1EC3" w:rsidRDefault="005E54B6" w:rsidP="005E54B6">
            <w:pPr>
              <w:spacing w:before="20" w:after="20"/>
              <w:ind w:right="57"/>
              <w:jc w:val="both"/>
              <w:rPr>
                <w:rFonts w:ascii="Times New Roman" w:hAnsi="Times New Roman"/>
                <w:sz w:val="24"/>
              </w:rPr>
            </w:pPr>
            <w:r w:rsidRPr="000F1EC3">
              <w:rPr>
                <w:rFonts w:ascii="Times New Roman" w:hAnsi="Times New Roman"/>
                <w:sz w:val="24"/>
              </w:rPr>
              <w:t>b) Cung cấp dịch vụ bảo đảm an toàn hàng hải.</w:t>
            </w:r>
          </w:p>
          <w:p w14:paraId="74E0E01A" w14:textId="77777777" w:rsidR="005E54B6" w:rsidRPr="000F1EC3" w:rsidRDefault="005E54B6" w:rsidP="005E54B6">
            <w:pPr>
              <w:spacing w:before="20" w:after="20"/>
              <w:ind w:right="57"/>
              <w:jc w:val="both"/>
              <w:rPr>
                <w:rFonts w:ascii="Times New Roman" w:hAnsi="Times New Roman"/>
                <w:sz w:val="24"/>
              </w:rPr>
            </w:pPr>
            <w:r w:rsidRPr="000F1EC3">
              <w:rPr>
                <w:rFonts w:ascii="Times New Roman" w:hAnsi="Times New Roman"/>
                <w:sz w:val="24"/>
              </w:rPr>
              <w:t>2. Tổ chức và quản lý bảo đảm an toàn hàng hải thuộc trách nhiệm của Nhà nước, bao gồm: Xây dựng, tổ chức thực hiện theo quy hoạch hệ thống kết cấu hạ tầng phục vụ bảo đảm an toàn hàng hải; Quản lý đầu tư xây dựng, quản lý, khai thác kết cấu hạ tầng phục vụ bảo đảm an toàn hàng hải; Ban hành, áp dụng tiêu chuẩn, quy chuẩn kỹ thuật; Tổ chức kiểm tra, giám sát, đánh giá chất lượng cung cấp dịch vụ bảo đảm an toàn hàng hải; Tổ chức hệ thống thông tin, điều hành và điều tiết bảo đảm an toàn hàng hải.</w:t>
            </w:r>
          </w:p>
          <w:p w14:paraId="720238D5"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3. Cung cấp dịch vụ bảo đảm an toàn hàng hải là việc tổ chức, cá nhân sử dụng nguồn lực để thực hiện hoạt động chuyên môn nhằm thiết lập, vận hành, duy trì và hỗ trợ hệ thống bảo đảm an toàn hàng hải.</w:t>
            </w:r>
          </w:p>
          <w:p w14:paraId="5A4B391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4. Dịch vụ bảo đảm an toàn hàng hải bao gồm:</w:t>
            </w:r>
          </w:p>
          <w:p w14:paraId="12DA0EFC" w14:textId="77777777" w:rsidR="005E54B6" w:rsidRPr="000F1EC3" w:rsidRDefault="005E54B6" w:rsidP="005E54B6">
            <w:pPr>
              <w:spacing w:before="20" w:after="20"/>
              <w:jc w:val="both"/>
              <w:rPr>
                <w:rFonts w:ascii="Times New Roman" w:hAnsi="Times New Roman"/>
                <w:b/>
                <w:sz w:val="24"/>
              </w:rPr>
            </w:pPr>
            <w:r w:rsidRPr="000F1EC3">
              <w:rPr>
                <w:rFonts w:ascii="Times New Roman" w:hAnsi="Times New Roman"/>
                <w:sz w:val="24"/>
              </w:rPr>
              <w:t xml:space="preserve">a) </w:t>
            </w:r>
            <w:r w:rsidRPr="000F1EC3">
              <w:rPr>
                <w:rFonts w:ascii="Times New Roman" w:hAnsi="Times New Roman"/>
                <w:b/>
                <w:sz w:val="24"/>
              </w:rPr>
              <w:t>Thiết lập,</w:t>
            </w:r>
            <w:r w:rsidRPr="000F1EC3">
              <w:rPr>
                <w:rFonts w:ascii="Times New Roman" w:hAnsi="Times New Roman"/>
                <w:sz w:val="24"/>
              </w:rPr>
              <w:t xml:space="preserve"> vận hành, bảo trì hệ thống báo hiệu hàng hải </w:t>
            </w:r>
            <w:r w:rsidRPr="000F1EC3">
              <w:rPr>
                <w:rFonts w:ascii="Times New Roman" w:hAnsi="Times New Roman"/>
                <w:b/>
                <w:sz w:val="24"/>
              </w:rPr>
              <w:t>và tuyến hàng hải;</w:t>
            </w:r>
          </w:p>
          <w:p w14:paraId="527D950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b) Vận hành, bảo trì hệ thống thông tin an toàn và cứu nạn hàng hải;</w:t>
            </w:r>
          </w:p>
          <w:p w14:paraId="36CB830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
                <w:bCs/>
                <w:sz w:val="24"/>
              </w:rPr>
              <w:lastRenderedPageBreak/>
              <w:t>c)</w:t>
            </w:r>
            <w:r w:rsidRPr="000F1EC3">
              <w:rPr>
                <w:rFonts w:ascii="Times New Roman" w:hAnsi="Times New Roman"/>
                <w:sz w:val="24"/>
              </w:rPr>
              <w:t xml:space="preserve"> Vận hành, bảo trì hệ thống công nghệ thông tin phục vụ quản lý nhà nước chuyên ngành ngành hàng hải;</w:t>
            </w:r>
          </w:p>
          <w:p w14:paraId="386DF6E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d) Xử lý, truyền phát thông tin an ninh hàng hải;</w:t>
            </w:r>
          </w:p>
          <w:p w14:paraId="6DA53269"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e) Tìm kiếm, cứu nạn hàng hải;</w:t>
            </w:r>
          </w:p>
          <w:p w14:paraId="758BDF1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g) Hoa tiêu hàng hải;</w:t>
            </w:r>
          </w:p>
          <w:p w14:paraId="11F9E2B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h) Điều tiết bảo đảm an toàn hàng hải;</w:t>
            </w:r>
          </w:p>
          <w:p w14:paraId="3A7ABE2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i) Thông báo hàng hải;</w:t>
            </w:r>
          </w:p>
          <w:p w14:paraId="11DE935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k) Khảo sát định kỳ luồng, vùng nước, khu nước công cộng, </w:t>
            </w:r>
            <w:r w:rsidRPr="000F1EC3">
              <w:rPr>
                <w:rFonts w:ascii="Times New Roman" w:hAnsi="Times New Roman"/>
                <w:b/>
                <w:bCs/>
                <w:sz w:val="24"/>
              </w:rPr>
              <w:t>tuyến hàng hải</w:t>
            </w:r>
            <w:r w:rsidRPr="000F1EC3">
              <w:rPr>
                <w:rFonts w:ascii="Times New Roman" w:hAnsi="Times New Roman"/>
                <w:sz w:val="24"/>
              </w:rPr>
              <w:t xml:space="preserve"> </w:t>
            </w:r>
            <w:r w:rsidRPr="000F1EC3">
              <w:rPr>
                <w:rFonts w:ascii="Times New Roman" w:hAnsi="Times New Roman"/>
                <w:strike/>
                <w:sz w:val="24"/>
              </w:rPr>
              <w:t>trong vùng nước cảng biển</w:t>
            </w:r>
            <w:r w:rsidRPr="000F1EC3">
              <w:rPr>
                <w:rFonts w:ascii="Times New Roman" w:hAnsi="Times New Roman"/>
                <w:sz w:val="24"/>
              </w:rPr>
              <w:t xml:space="preserve"> phục vụ </w:t>
            </w:r>
            <w:r w:rsidRPr="000F1EC3">
              <w:rPr>
                <w:rFonts w:ascii="Times New Roman" w:hAnsi="Times New Roman"/>
                <w:b/>
                <w:bCs/>
                <w:sz w:val="24"/>
              </w:rPr>
              <w:t xml:space="preserve">hành hải </w:t>
            </w:r>
            <w:r w:rsidRPr="000F1EC3">
              <w:rPr>
                <w:rFonts w:ascii="Times New Roman" w:hAnsi="Times New Roman"/>
                <w:strike/>
                <w:sz w:val="24"/>
              </w:rPr>
              <w:t>công bố thông báo hàng hải</w:t>
            </w:r>
            <w:r w:rsidRPr="000F1EC3">
              <w:rPr>
                <w:rFonts w:ascii="Times New Roman" w:hAnsi="Times New Roman"/>
                <w:sz w:val="24"/>
              </w:rPr>
              <w:t>;</w:t>
            </w:r>
          </w:p>
          <w:p w14:paraId="22C69BDD" w14:textId="77777777" w:rsidR="005E54B6" w:rsidRPr="000F1EC3" w:rsidRDefault="005E54B6" w:rsidP="005E54B6">
            <w:pPr>
              <w:spacing w:before="20" w:after="20"/>
              <w:jc w:val="both"/>
              <w:rPr>
                <w:rFonts w:ascii="Times New Roman" w:hAnsi="Times New Roman"/>
                <w:b/>
                <w:sz w:val="24"/>
              </w:rPr>
            </w:pPr>
            <w:r w:rsidRPr="000F1EC3">
              <w:rPr>
                <w:rFonts w:ascii="Times New Roman" w:hAnsi="Times New Roman"/>
                <w:b/>
                <w:bCs/>
                <w:sz w:val="24"/>
              </w:rPr>
              <w:t>l</w:t>
            </w:r>
            <w:r w:rsidRPr="000F1EC3">
              <w:rPr>
                <w:rFonts w:ascii="Times New Roman" w:hAnsi="Times New Roman"/>
                <w:b/>
                <w:sz w:val="24"/>
              </w:rPr>
              <w:t>) Xây dựng, cập nhật, phát hành tài liệu, ấn phẩm hàng hải và dữ liệu phục vụ an toàn hàng hải;</w:t>
            </w:r>
          </w:p>
          <w:p w14:paraId="3856366A" w14:textId="77777777" w:rsidR="005E54B6" w:rsidRPr="000F1EC3" w:rsidRDefault="005E54B6" w:rsidP="005E54B6">
            <w:pPr>
              <w:spacing w:before="20" w:after="20"/>
              <w:jc w:val="both"/>
              <w:rPr>
                <w:rFonts w:ascii="Times New Roman" w:hAnsi="Times New Roman"/>
                <w:bCs/>
                <w:sz w:val="24"/>
              </w:rPr>
            </w:pPr>
            <w:r w:rsidRPr="000F1EC3">
              <w:rPr>
                <w:rFonts w:ascii="Times New Roman" w:hAnsi="Times New Roman"/>
                <w:b/>
                <w:sz w:val="24"/>
              </w:rPr>
              <w:t>m) Thiết lập, vận hành, bảo trì hệ thống thu thập dữ liệu thủy đạc phục vụ hành hải</w:t>
            </w:r>
            <w:r w:rsidRPr="000F1EC3">
              <w:rPr>
                <w:rFonts w:ascii="Times New Roman" w:hAnsi="Times New Roman"/>
                <w:bCs/>
                <w:sz w:val="24"/>
              </w:rPr>
              <w:t>.</w:t>
            </w:r>
          </w:p>
          <w:p w14:paraId="5E726523" w14:textId="77777777" w:rsidR="005E54B6" w:rsidRPr="000F1EC3" w:rsidRDefault="005E54B6" w:rsidP="005E54B6">
            <w:pPr>
              <w:spacing w:before="20" w:after="20"/>
              <w:jc w:val="both"/>
              <w:rPr>
                <w:rFonts w:ascii="Times New Roman" w:hAnsi="Times New Roman"/>
                <w:b/>
                <w:sz w:val="24"/>
              </w:rPr>
            </w:pPr>
            <w:r w:rsidRPr="000F1EC3">
              <w:rPr>
                <w:rFonts w:ascii="Times New Roman" w:hAnsi="Times New Roman"/>
                <w:b/>
                <w:sz w:val="24"/>
              </w:rPr>
              <w:t>o) Thiết lập, vận hành, bảo trì hệ thống VTS;</w:t>
            </w:r>
          </w:p>
          <w:p w14:paraId="659EC76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
                <w:bCs/>
                <w:sz w:val="24"/>
              </w:rPr>
              <w:t>p)</w:t>
            </w:r>
            <w:r w:rsidRPr="000F1EC3">
              <w:rPr>
                <w:rFonts w:ascii="Times New Roman" w:hAnsi="Times New Roman"/>
                <w:sz w:val="24"/>
              </w:rPr>
              <w:t xml:space="preserve"> Bảo trì, cải tạo, nâng cấp kết cấu hạ tầng hàng hải;</w:t>
            </w:r>
          </w:p>
          <w:p w14:paraId="1753C20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
                <w:bCs/>
                <w:sz w:val="24"/>
              </w:rPr>
              <w:t>q)</w:t>
            </w:r>
            <w:r w:rsidRPr="000F1EC3">
              <w:rPr>
                <w:rFonts w:ascii="Times New Roman" w:hAnsi="Times New Roman"/>
                <w:sz w:val="24"/>
              </w:rPr>
              <w:t xml:space="preserve"> Thanh thải vật chướng ngại ảnh hưởng đến an toàn hàng hải;</w:t>
            </w:r>
          </w:p>
          <w:p w14:paraId="0346A48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
                <w:bCs/>
                <w:sz w:val="24"/>
              </w:rPr>
              <w:t>r)</w:t>
            </w:r>
            <w:r w:rsidRPr="000F1EC3">
              <w:rPr>
                <w:rFonts w:ascii="Times New Roman" w:hAnsi="Times New Roman"/>
                <w:sz w:val="24"/>
              </w:rPr>
              <w:t xml:space="preserve"> Nhiệm vụ đột xuất bảo đảm an toàn hàng hải;</w:t>
            </w:r>
          </w:p>
          <w:p w14:paraId="4823057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b/>
                <w:bCs/>
                <w:sz w:val="24"/>
              </w:rPr>
              <w:t>s)</w:t>
            </w:r>
            <w:r w:rsidRPr="000F1EC3">
              <w:rPr>
                <w:rFonts w:ascii="Times New Roman" w:hAnsi="Times New Roman"/>
                <w:sz w:val="24"/>
              </w:rPr>
              <w:t xml:space="preserve"> Các dịch vụ bảo đảm an toàn hàng hải khác theo quy định của pháp luật.</w:t>
            </w:r>
          </w:p>
          <w:p w14:paraId="029697E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5. Chính phủ quy định chi tiết Điều này.</w:t>
            </w:r>
          </w:p>
          <w:p w14:paraId="664F582E"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Lý do: Kế thừa quy định tại điểm a khoản 3 Điều 108 Bộ luật Hàng hải Việt Nam năm 2015 </w:t>
            </w:r>
            <w:r w:rsidRPr="000F1EC3">
              <w:rPr>
                <w:rFonts w:ascii="Times New Roman" w:hAnsi="Times New Roman"/>
                <w:i/>
                <w:sz w:val="24"/>
              </w:rPr>
              <w:t xml:space="preserve">“Thiết lập, vận hành, duy trì, bảo trì báo hiệu hàng hải, luồng hàng hải và tuyến hàng hải”; </w:t>
            </w:r>
            <w:r w:rsidRPr="000F1EC3">
              <w:rPr>
                <w:rFonts w:ascii="Times New Roman" w:hAnsi="Times New Roman"/>
                <w:sz w:val="24"/>
              </w:rPr>
              <w:t>đồng thời bảo đảm bao quát đầy đủ các hoạt động quản lý, khai thác và duy trì hệ thống bảo đảm an toàn hàng hải, phù hợp với thực tiễn tổ chức quản lý.</w:t>
            </w:r>
          </w:p>
          <w:p w14:paraId="0CF6CAF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bổ sung nội dung “tuyến hàng hải” là cần thiết để bảo đảm thống nhất với quy định về thẩm quyền công bố tuyến hàng hải của Bộ Xây dựng tại </w:t>
            </w:r>
            <w:r w:rsidRPr="000F1EC3">
              <w:rPr>
                <w:rFonts w:ascii="Times New Roman" w:hAnsi="Times New Roman"/>
                <w:bCs/>
                <w:sz w:val="24"/>
              </w:rPr>
              <w:t>Điều 160. Tuyến hàng hải và tuyến đường thủy nội địa</w:t>
            </w:r>
            <w:r w:rsidRPr="000F1EC3">
              <w:rPr>
                <w:rFonts w:ascii="Times New Roman" w:hAnsi="Times New Roman"/>
                <w:sz w:val="24"/>
              </w:rPr>
              <w:t xml:space="preserve"> của Bộ luật. đồng thời bảo đảm tính đồng bộ giữa hoạt động khảo sát thủy đạc, công bố tuyến hàng hải và công tác bảo đảm an toàn hàng hải theo quy định của Bộ luật.</w:t>
            </w:r>
          </w:p>
          <w:p w14:paraId="72D404B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Bổ sung quy định về “xây dựng, cập nhật, phát hành và cung cấp tài liệu, ấn phẩm hàng hải và dữ liệu phục vụ an toàn hàng hải” là cần thiết nhằm hoàn thiện cơ sở pháp lý cho hoạt động cung cấp thông tin hàng hải trong điều kiện chuyển đổi số và hiện đại hóa hệ thống bảo đảm an toàn hàng hải.  Đồng thời, quy định này cũng nhằm khẳng định trách nhiệm của cơ quan quản lý nhà nước chuyên ngành trong tổ chức quản lý thống nhất, kiểm </w:t>
            </w:r>
            <w:r w:rsidRPr="000F1EC3">
              <w:rPr>
                <w:rFonts w:ascii="Times New Roman" w:hAnsi="Times New Roman"/>
                <w:sz w:val="24"/>
              </w:rPr>
              <w:lastRenderedPageBreak/>
              <w:t>soát chất lượng và cập nhật kịp thời thông tin, dữ liệu hàng hải phục vụ tàu thuyền hoạt động an toàn trong vùng biển Việt Nam.</w:t>
            </w:r>
          </w:p>
          <w:p w14:paraId="4AC5F523" w14:textId="77777777" w:rsidR="005E54B6" w:rsidRPr="000F1EC3" w:rsidRDefault="005E54B6" w:rsidP="005E54B6">
            <w:pPr>
              <w:spacing w:before="20" w:after="20"/>
              <w:jc w:val="both"/>
              <w:rPr>
                <w:rFonts w:ascii="Times New Roman" w:hAnsi="Times New Roman"/>
                <w:i/>
                <w:iCs/>
                <w:sz w:val="24"/>
              </w:rPr>
            </w:pPr>
            <w:r w:rsidRPr="000F1EC3">
              <w:rPr>
                <w:rFonts w:ascii="Times New Roman" w:hAnsi="Times New Roman"/>
                <w:i/>
                <w:iCs/>
                <w:sz w:val="24"/>
              </w:rPr>
              <w:t>(Tương đồng với khoản đ mục 3 Điều 45. Bảo đảm an toàn đường thuỷ nội địa)</w:t>
            </w:r>
          </w:p>
          <w:p w14:paraId="275A27F1"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Bổ sung “Thiết lập, vận hành, bảo trì hệ thống thu thập dữ liệu thủy đạc phục vụ hành hải.” nhằm phù hợp với xu hướng phát triển môi trường hàng hải điện tử (e-Navigation) và yêu cầu quản lý, khai thác dữ liệu số trong hoạt động hàng hải. Dữ liệu thủy đạc không chỉ phục vụ bảo đảm an toàn hàng hải mà còn phục vụ quốc phòng, an ninh, bảo vệ chủ quyền, quy hoạch không gian biển và quản lý, khai thác tài nguyên biển. Việc bổ sung quy định này đồng thời bảo đảm thống nhất với quy định về cơ sở dữ liệu hàng hải và đường thủy nội địa tại Điều 8 của dự thảo Bộ luật; khẳng định vai trò, trách nhiệm của cơ quan quản lý nhà nước chuyên ngành trong tổ chức quản lý tập trung, thống nhất dữ liệu thủy đạc hàng hải phục vụ an toàn hàng hải và quản lý biển quốc gia.</w:t>
            </w:r>
          </w:p>
          <w:p w14:paraId="48BB156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Bổ sung “</w:t>
            </w:r>
            <w:r w:rsidRPr="000F1EC3">
              <w:rPr>
                <w:rFonts w:ascii="Times New Roman" w:hAnsi="Times New Roman"/>
                <w:b/>
                <w:sz w:val="24"/>
              </w:rPr>
              <w:t xml:space="preserve">Thiết lập, vận hành, bảo trì hệ thống” </w:t>
            </w:r>
            <w:r w:rsidRPr="000F1EC3">
              <w:rPr>
                <w:rFonts w:ascii="Times New Roman" w:hAnsi="Times New Roman"/>
                <w:bCs/>
                <w:sz w:val="24"/>
              </w:rPr>
              <w:t>vì hiện nay, hệ thống VTS không chỉ được triển khai tại</w:t>
            </w:r>
            <w:r w:rsidRPr="000F1EC3">
              <w:rPr>
                <w:rFonts w:ascii="Times New Roman" w:hAnsi="Times New Roman"/>
                <w:sz w:val="24"/>
              </w:rPr>
              <w:t xml:space="preserve"> vùng nước cảng biển mà ngày càng mở rộng trên các tuyến hàng hải, khu vực có mật độ giao thông cao và các vùng biển trọng điểm; đồng thời gắn liền với xu hướng chuyển đổi số, e-Navigation và quản lý giao thông hàng hải thông minh.</w:t>
            </w:r>
          </w:p>
          <w:p w14:paraId="4C31DE5F"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Vì vậy, đề xuất bổ sung “Thiết lập, vận hành, bảo trì hệ thống VTS” nhằm tạo cơ sở pháp lý thống nhất cho việc đầu tư, quản lý, vận hành và phát triển hệ thống VTS trong phạm vi toàn quốc, phù hợp với thông lệ và tiêu chuẩn quốc tế.</w:t>
            </w:r>
          </w:p>
        </w:tc>
        <w:tc>
          <w:tcPr>
            <w:tcW w:w="2793" w:type="dxa"/>
            <w:vAlign w:val="center"/>
          </w:tcPr>
          <w:p w14:paraId="302CD24E" w14:textId="598B8AAB" w:rsidR="005E54B6" w:rsidRPr="000F1EC3" w:rsidRDefault="0081493C" w:rsidP="005E54B6">
            <w:pPr>
              <w:spacing w:before="20" w:after="20"/>
              <w:jc w:val="both"/>
              <w:rPr>
                <w:rFonts w:ascii="Times New Roman" w:hAnsi="Times New Roman"/>
                <w:sz w:val="24"/>
              </w:rPr>
            </w:pPr>
            <w:r w:rsidRPr="000F1EC3">
              <w:rPr>
                <w:rFonts w:ascii="Times New Roman" w:hAnsi="Times New Roman"/>
                <w:sz w:val="24"/>
              </w:rPr>
              <w:lastRenderedPageBreak/>
              <w:t>Nội dung này được giao Chính phủ quy định chi tiết.</w:t>
            </w:r>
          </w:p>
        </w:tc>
      </w:tr>
      <w:tr w:rsidR="005E54B6" w:rsidRPr="000F1EC3" w14:paraId="31B27A47" w14:textId="77777777" w:rsidTr="001B580E">
        <w:trPr>
          <w:gridAfter w:val="1"/>
          <w:wAfter w:w="8" w:type="dxa"/>
        </w:trPr>
        <w:tc>
          <w:tcPr>
            <w:tcW w:w="914" w:type="dxa"/>
            <w:vAlign w:val="center"/>
          </w:tcPr>
          <w:p w14:paraId="2FC01381"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76B904C4"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32F8C94B"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Công ty TNHH MTV Thông tin điện tử hàng hải Việt Nam (văn bản số 1657/VISIPEL-KHĐT ngày 8/5/2026)</w:t>
            </w:r>
          </w:p>
        </w:tc>
        <w:tc>
          <w:tcPr>
            <w:tcW w:w="8872" w:type="dxa"/>
            <w:vAlign w:val="center"/>
          </w:tcPr>
          <w:p w14:paraId="0D4EFFE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a) Công ty nhất trí với việc Dự thảo Bộ luật đã phân định rõ hai nhóm hoạt động gồm: (i) tổ chức, quản lý nhà nước về bảo đảm an toàn hàng hải và (ii) cung cấp dịch vụ bảo đảm an toàn hàng hải, qua đó làm rõ vai trò, trách nhiệm của Nhà nước và các tổ chức cung cấp dịch vụ tại khoản 2, khoản 3, Điều 44 Dự thảo Bộ luật. </w:t>
            </w:r>
          </w:p>
          <w:p w14:paraId="2ABC7A4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Để làm rõ nét hơn nữa vai trò của nhà nước trong tổ chức cung cấp dịch vụ bảo đảm an toàn hàng hải, Công ty đề nghị bổ sung nội dung “Tổ chức giao nhiệm vụ, đặt hàng/đấu thầu cung cấp dịch vụ bảo đảm an toàn hàng hải;" vào khoản 2, Điểu 44 Dự thảo Bộ luật, cụ thể: </w:t>
            </w:r>
          </w:p>
          <w:p w14:paraId="1BAC514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2. Tổ chức và quản lý bảo đảm an toàn hàng hải thuộc trách nhiệm của Nhà nước, bao gồm: ..; Tổ chức giao nhiệm vụ, đặt hàng/đấu thầu cung cấp dịch vụ bảo đảm an toàn hàng hải; Tổ chức kiểm tra, giám sát, đánh giá chất lượng cung cấp dịch vụ bảo đảm an toàn hàng hải; ... </w:t>
            </w:r>
          </w:p>
          <w:p w14:paraId="3CB62BC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 Để đầy đủ các hoạt động phục vụ cung cấp dịch vụ bảo đảm an toàn hàng hải, Công ty đề nghị bổ sung nội dung “khai thác” vào vào khoản 3, Điều 44 Dự thảo Bộ luật, cụ thể: "3. Cung cấp dịch vụ bảo đảm an toàn hàng hải là việc tổ chức, cá nhân sử dụng nguồn lực để </w:t>
            </w:r>
            <w:r w:rsidRPr="000F1EC3">
              <w:rPr>
                <w:rFonts w:ascii="Times New Roman" w:hAnsi="Times New Roman"/>
                <w:sz w:val="24"/>
              </w:rPr>
              <w:lastRenderedPageBreak/>
              <w:t xml:space="preserve">thực hiện hoạt động chuyên môn nhằm thiết lập, khai thác, vận hành, duy trì và hỗ trợ hệ thống bảo đảm an toàn hàng hải. ” </w:t>
            </w:r>
          </w:p>
          <w:p w14:paraId="33BAC3E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b) Công ty đề nghị sửa đổi điểm b, khoản 4, Điều 44, Dự thảo Bộ luật “b) Vận hành, bảo trì hệ thống thông tin an toàn và cứu nạn hàng hải;” thành "c) Thông tin duyên hải” với các lý do sau:</w:t>
            </w:r>
          </w:p>
          <w:p w14:paraId="1EFAD88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(i) Thực thi điều ước quốc tế mà Việt Nam là thành viên: Tại khoản 1, Điều 5, Chương 4 của Công ước về an toàn sinh mạng con người trên biển (SOLAS 74/88): Mỗi chính phủ thành viên cam kết cung cấp các dịch vụ thông tin phù hợp theo khuyến nghị của Tổ chức. Các dịch vụ này bao gồm: (Bản gốc tiếng Anh: “Each Contracting Government undertakes to make available, as it deems practical and necessary either individually or in cоoperation with other Contracting Governments, appropriate shore-based facilities for space and terrestrial radiocommunication services having due regard to the recommendations of the Organisation. These services are:...") Như vậy, Công ước về an toàn sinh mạng con người trên biển (SOLAS 74/88) yêu cầu các quốc gia thành viên cung cấp DỊCH VỤ (Thông tin duyên hải), không phải là vận hành, bảo trì hệ thống. (ii) Các quy định hiện hành đều sử dụng dịch vụ “thông tin duyên hải”, cụ thể như: - Tại khoản 13, Điều 1, Nghị định số 34/2025/NĐ-CP ngày 25/02/2025 sửa đổi, bổ sung một số điều của các Nghị định trong lĩnh vực hàng hải;</w:t>
            </w:r>
          </w:p>
          <w:p w14:paraId="18526C5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Tại Biểu 02, Phụ lục I kèm theo Nghị định số 32/2019/NĐ-CP ngày 10/4/2029 quy định giao nhiệm vụ, đặt hàng hoặc đấu thầu cung cấp sản phẩm, dịch vụ công sử dụng ngân sách nhà nước từ nguồn kinh phí chi thường xuyên; - Bộ tiêu chuẩn Việt Nam 9805 Thông tin duyên hải theo chuẩn GMDSS được Bộ Khoa học và Công nghệ công bố. (iii) Thực tiễn: Đối với tàu thuyền hoạt động trên biển, họ chỉ sử dụng dịch vụ (thông tin duyên hải) mà không cần phải biết vận hành, bảo trì hệ thống như thế nào.</w:t>
            </w:r>
          </w:p>
        </w:tc>
        <w:tc>
          <w:tcPr>
            <w:tcW w:w="2793" w:type="dxa"/>
            <w:vAlign w:val="center"/>
          </w:tcPr>
          <w:p w14:paraId="2D124A20" w14:textId="4F5EF0F9" w:rsidR="005E54B6" w:rsidRPr="000F1EC3" w:rsidRDefault="00514CAC" w:rsidP="005E54B6">
            <w:pPr>
              <w:spacing w:before="20" w:after="20"/>
              <w:jc w:val="both"/>
              <w:rPr>
                <w:rFonts w:ascii="Times New Roman" w:hAnsi="Times New Roman"/>
                <w:b/>
                <w:bCs/>
                <w:sz w:val="24"/>
              </w:rPr>
            </w:pPr>
            <w:r w:rsidRPr="000F1EC3">
              <w:rPr>
                <w:rFonts w:ascii="Times New Roman" w:hAnsi="Times New Roman"/>
                <w:sz w:val="24"/>
              </w:rPr>
              <w:lastRenderedPageBreak/>
              <w:t>Nội dung này được giao Chính phủ quy định chi tiết.</w:t>
            </w:r>
          </w:p>
        </w:tc>
      </w:tr>
      <w:tr w:rsidR="005E54B6" w:rsidRPr="000F1EC3" w14:paraId="396DC219" w14:textId="77777777" w:rsidTr="001B580E">
        <w:trPr>
          <w:gridAfter w:val="1"/>
          <w:wAfter w:w="8" w:type="dxa"/>
        </w:trPr>
        <w:tc>
          <w:tcPr>
            <w:tcW w:w="914" w:type="dxa"/>
            <w:vAlign w:val="center"/>
          </w:tcPr>
          <w:p w14:paraId="243FF800"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4519EEC4"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46</w:t>
            </w:r>
          </w:p>
        </w:tc>
        <w:tc>
          <w:tcPr>
            <w:tcW w:w="1620" w:type="dxa"/>
            <w:vAlign w:val="center"/>
          </w:tcPr>
          <w:p w14:paraId="0EE9BC15"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Sở Xây dựng Hưng Yên (văn bản số 2188/SXD-QLKCHT ngày 12/5/2026)</w:t>
            </w:r>
          </w:p>
        </w:tc>
        <w:tc>
          <w:tcPr>
            <w:tcW w:w="8872" w:type="dxa"/>
            <w:vAlign w:val="center"/>
          </w:tcPr>
          <w:p w14:paraId="37E1342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bổ sung quy định khái niệm về các công trình hàng hải, đường thủy nội địa tạm thời để đáp ứng nhu cầu cấp thiết phát triển kinh tế - xã hội; đồng thời quy định cụ thể hoặc giao cho Chính phủ quy định cụ thể danh mục các công trình hàng hải, đường thủy tạm thời để đáp ứng nhu cầu cấp thiết phát triển kinh tế - xã hội để đảm bảo tính khả thi của Bộ Luật trong triển khai thực tế.</w:t>
            </w:r>
          </w:p>
        </w:tc>
        <w:tc>
          <w:tcPr>
            <w:tcW w:w="2793" w:type="dxa"/>
            <w:vAlign w:val="center"/>
          </w:tcPr>
          <w:p w14:paraId="559B147C" w14:textId="6259A110" w:rsidR="005E54B6" w:rsidRPr="000F1EC3" w:rsidRDefault="0081493C" w:rsidP="005E54B6">
            <w:pPr>
              <w:spacing w:before="20" w:after="20"/>
              <w:jc w:val="both"/>
              <w:rPr>
                <w:rFonts w:ascii="Times New Roman" w:hAnsi="Times New Roman"/>
                <w:b/>
                <w:bCs/>
                <w:sz w:val="24"/>
              </w:rPr>
            </w:pPr>
            <w:r w:rsidRPr="000F1EC3">
              <w:rPr>
                <w:rFonts w:ascii="Times New Roman" w:hAnsi="Times New Roman"/>
                <w:sz w:val="24"/>
              </w:rPr>
              <w:t>Các nội dung liên quan đến khái niệm được rà soát, chỉnh sửa và chỉ quy định khi thật sự cần thiết.</w:t>
            </w:r>
          </w:p>
        </w:tc>
      </w:tr>
      <w:tr w:rsidR="005E54B6" w:rsidRPr="000F1EC3" w14:paraId="56454FD8" w14:textId="77777777" w:rsidTr="001B580E">
        <w:trPr>
          <w:gridAfter w:val="1"/>
          <w:wAfter w:w="8" w:type="dxa"/>
        </w:trPr>
        <w:tc>
          <w:tcPr>
            <w:tcW w:w="914" w:type="dxa"/>
            <w:vAlign w:val="center"/>
          </w:tcPr>
          <w:p w14:paraId="42BC05E2" w14:textId="77777777" w:rsidR="005E54B6" w:rsidRPr="000F1EC3" w:rsidRDefault="005E54B6" w:rsidP="005E54B6">
            <w:pPr>
              <w:spacing w:before="20" w:after="20"/>
              <w:jc w:val="both"/>
              <w:rPr>
                <w:rFonts w:ascii="Times New Roman" w:hAnsi="Times New Roman"/>
                <w:b/>
                <w:bCs/>
                <w:sz w:val="24"/>
              </w:rPr>
            </w:pPr>
          </w:p>
        </w:tc>
        <w:tc>
          <w:tcPr>
            <w:tcW w:w="992" w:type="dxa"/>
            <w:vMerge/>
            <w:vAlign w:val="center"/>
          </w:tcPr>
          <w:p w14:paraId="423A8FE9"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5BAFAB32"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 xml:space="preserve">UBND TP Hải Phòng (văn bản số </w:t>
            </w:r>
            <w:r w:rsidRPr="000F1EC3">
              <w:rPr>
                <w:rFonts w:ascii="Times New Roman" w:hAnsi="Times New Roman"/>
                <w:b/>
                <w:bCs/>
                <w:sz w:val="24"/>
              </w:rPr>
              <w:lastRenderedPageBreak/>
              <w:t>895/UBND-XDCT ngày 12/5/2026)</w:t>
            </w:r>
          </w:p>
        </w:tc>
        <w:tc>
          <w:tcPr>
            <w:tcW w:w="8872" w:type="dxa"/>
            <w:vAlign w:val="center"/>
          </w:tcPr>
          <w:p w14:paraId="7D4776E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Đề nghị bổ sung quy định khái niệm về các công trình hàng hải, đường thủy tạm thời để đáp ứng nhu cầu cấp thiết phát triển kinh tế - xã hội; đồng thời quy định cụ thể hoặc giao cho Chính phủ quy định cụ thể danh mục các công trình hàng hải, đường thủy tạm thời để </w:t>
            </w:r>
            <w:r w:rsidRPr="000F1EC3">
              <w:rPr>
                <w:rFonts w:ascii="Times New Roman" w:hAnsi="Times New Roman"/>
                <w:sz w:val="24"/>
              </w:rPr>
              <w:lastRenderedPageBreak/>
              <w:t>đáp ứng nhu cầu cấp thiết phát triển kinh tế - xã hội để đảm bảo tính khả thi của Bộ Luật trong triển khai thực tế.</w:t>
            </w:r>
          </w:p>
        </w:tc>
        <w:tc>
          <w:tcPr>
            <w:tcW w:w="2793" w:type="dxa"/>
            <w:vAlign w:val="center"/>
          </w:tcPr>
          <w:p w14:paraId="39AA532A" w14:textId="2384CC2A" w:rsidR="005E54B6" w:rsidRPr="000F1EC3" w:rsidRDefault="0081493C" w:rsidP="005E54B6">
            <w:pPr>
              <w:spacing w:before="20" w:after="20"/>
              <w:jc w:val="both"/>
              <w:rPr>
                <w:rFonts w:ascii="Times New Roman" w:hAnsi="Times New Roman"/>
                <w:b/>
                <w:bCs/>
                <w:sz w:val="24"/>
              </w:rPr>
            </w:pPr>
            <w:r w:rsidRPr="000F1EC3">
              <w:rPr>
                <w:rFonts w:ascii="Times New Roman" w:hAnsi="Times New Roman"/>
                <w:sz w:val="24"/>
              </w:rPr>
              <w:lastRenderedPageBreak/>
              <w:t xml:space="preserve">Các nội dung liên quan đến khái niệm được rà soát, </w:t>
            </w:r>
            <w:r w:rsidRPr="000F1EC3">
              <w:rPr>
                <w:rFonts w:ascii="Times New Roman" w:hAnsi="Times New Roman"/>
                <w:sz w:val="24"/>
              </w:rPr>
              <w:lastRenderedPageBreak/>
              <w:t>chỉnh sửa và chỉ quy định khi thật sự cần thiết.</w:t>
            </w:r>
          </w:p>
        </w:tc>
      </w:tr>
      <w:tr w:rsidR="005E54B6" w:rsidRPr="000F1EC3" w14:paraId="06AAE89E" w14:textId="77777777" w:rsidTr="001B580E">
        <w:trPr>
          <w:gridAfter w:val="1"/>
          <w:wAfter w:w="8" w:type="dxa"/>
        </w:trPr>
        <w:tc>
          <w:tcPr>
            <w:tcW w:w="914" w:type="dxa"/>
            <w:vAlign w:val="center"/>
          </w:tcPr>
          <w:p w14:paraId="3C14E64A"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08D3700A"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47</w:t>
            </w:r>
          </w:p>
        </w:tc>
        <w:tc>
          <w:tcPr>
            <w:tcW w:w="1620" w:type="dxa"/>
            <w:vAlign w:val="center"/>
          </w:tcPr>
          <w:p w14:paraId="327DEA3A"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238F8E8F"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555CD578" w14:textId="1DF16535"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điều chỉnh lại thành “Trong trường hợp cần thiết nhằm bảo đảm quốc phòng, an ninh, an toàn hàng hải, an ninh kinh tế, an ninh năng lượn</w:t>
            </w:r>
            <w:r w:rsidR="00514CAC" w:rsidRPr="000F1EC3">
              <w:rPr>
                <w:rFonts w:ascii="Times New Roman" w:hAnsi="Times New Roman"/>
                <w:sz w:val="24"/>
              </w:rPr>
              <w:t>g</w:t>
            </w:r>
            <w:r w:rsidRPr="000F1EC3">
              <w:rPr>
                <w:rFonts w:ascii="Times New Roman" w:hAnsi="Times New Roman"/>
                <w:sz w:val="24"/>
              </w:rPr>
              <w:t>; phòng thủ dân sự; ứng phó sự cố hoặc yêu cầu cấp bách khác, cơ quan có thẩm quyền quyết định thiết lập công trình hàng hải, đường thủy khẩn cấp” để phù hợp với Luật Phòng thủ dân sự.</w:t>
            </w:r>
          </w:p>
        </w:tc>
        <w:tc>
          <w:tcPr>
            <w:tcW w:w="2793" w:type="dxa"/>
            <w:vAlign w:val="center"/>
          </w:tcPr>
          <w:p w14:paraId="65764E68" w14:textId="5C84BAD4" w:rsidR="005E54B6" w:rsidRPr="000F1EC3" w:rsidRDefault="00DC4ACB" w:rsidP="005E54B6">
            <w:pPr>
              <w:spacing w:before="20" w:after="20"/>
              <w:jc w:val="both"/>
              <w:rPr>
                <w:rFonts w:ascii="Times New Roman" w:hAnsi="Times New Roman"/>
                <w:b/>
                <w:bCs/>
                <w:sz w:val="24"/>
              </w:rPr>
            </w:pPr>
            <w:r w:rsidRPr="000F1EC3">
              <w:rPr>
                <w:rFonts w:ascii="Times New Roman" w:hAnsi="Times New Roman"/>
                <w:sz w:val="24"/>
              </w:rPr>
              <w:t xml:space="preserve">Trên cơ sở tiếp thu các ý kiến góp </w:t>
            </w:r>
            <w:r w:rsidR="00FA5102" w:rsidRPr="000F1EC3">
              <w:rPr>
                <w:rFonts w:ascii="Times New Roman" w:hAnsi="Times New Roman"/>
                <w:sz w:val="24"/>
              </w:rPr>
              <w:t>ý, dự thảo Bộ luật đã biên tập lại 01 điều nguyên tác chung về đầu tư kết cấu hạ tầng hàng hải và đường thủy nội địa, cảng cạn.</w:t>
            </w:r>
          </w:p>
        </w:tc>
      </w:tr>
      <w:tr w:rsidR="005E54B6" w:rsidRPr="000F1EC3" w14:paraId="79870CE7" w14:textId="77777777" w:rsidTr="001B580E">
        <w:trPr>
          <w:gridAfter w:val="1"/>
          <w:wAfter w:w="8" w:type="dxa"/>
        </w:trPr>
        <w:tc>
          <w:tcPr>
            <w:tcW w:w="914" w:type="dxa"/>
            <w:vAlign w:val="center"/>
          </w:tcPr>
          <w:p w14:paraId="65AA9A09"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5CE444A7"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50</w:t>
            </w:r>
          </w:p>
        </w:tc>
        <w:tc>
          <w:tcPr>
            <w:tcW w:w="1620" w:type="dxa"/>
            <w:vAlign w:val="center"/>
          </w:tcPr>
          <w:p w14:paraId="3C2A9E6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 xml:space="preserve">ĐBQH Ninh Bình (văn bản số </w:t>
            </w:r>
            <w:r w:rsidRPr="000F1EC3">
              <w:rPr>
                <w:rFonts w:ascii="Times New Roman" w:hAnsi="Times New Roman"/>
                <w:b/>
                <w:sz w:val="24"/>
              </w:rPr>
              <w:t>58/ĐDBQH-VP ngày 11/5/2026</w:t>
            </w:r>
            <w:r w:rsidRPr="000F1EC3">
              <w:rPr>
                <w:rFonts w:ascii="Times New Roman" w:hAnsi="Times New Roman"/>
                <w:b/>
                <w:bCs/>
                <w:sz w:val="24"/>
              </w:rPr>
              <w:t>)</w:t>
            </w:r>
          </w:p>
        </w:tc>
        <w:tc>
          <w:tcPr>
            <w:tcW w:w="8872" w:type="dxa"/>
            <w:vAlign w:val="center"/>
          </w:tcPr>
          <w:p w14:paraId="4A0B7FD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Tại </w:t>
            </w:r>
            <w:r w:rsidRPr="000F1EC3">
              <w:rPr>
                <w:rFonts w:ascii="Times New Roman" w:hAnsi="Times New Roman"/>
                <w:b/>
                <w:sz w:val="24"/>
              </w:rPr>
              <w:t>Khoản 1 Điều 50 (Các hình thức xử lý)</w:t>
            </w:r>
            <w:r w:rsidRPr="000F1EC3">
              <w:rPr>
                <w:rFonts w:ascii="Times New Roman" w:hAnsi="Times New Roman"/>
                <w:sz w:val="24"/>
              </w:rPr>
              <w:t xml:space="preserve"> đang có hai điểm ký hiệu là </w:t>
            </w:r>
            <w:r w:rsidRPr="000F1EC3">
              <w:rPr>
                <w:rFonts w:ascii="Times New Roman" w:hAnsi="Times New Roman"/>
                <w:b/>
                <w:i/>
                <w:sz w:val="24"/>
              </w:rPr>
              <w:t>h) ("h) Bồi thường giải phóng mặt bằng" và "h) Hình thức khác theo quy định của pháp luật").</w:t>
            </w:r>
            <w:r w:rsidRPr="000F1EC3">
              <w:rPr>
                <w:rFonts w:ascii="Times New Roman" w:hAnsi="Times New Roman"/>
                <w:sz w:val="24"/>
              </w:rPr>
              <w:t xml:space="preserve"> Đề nghị cơ quan soạn thảo cần sửa lại ký hiệu điểm thứ hai thành </w:t>
            </w:r>
            <w:r w:rsidRPr="000F1EC3">
              <w:rPr>
                <w:rFonts w:ascii="Times New Roman" w:hAnsi="Times New Roman"/>
                <w:b/>
                <w:sz w:val="24"/>
              </w:rPr>
              <w:t>i)</w:t>
            </w:r>
            <w:r w:rsidRPr="000F1EC3">
              <w:rPr>
                <w:rFonts w:ascii="Times New Roman" w:hAnsi="Times New Roman"/>
                <w:sz w:val="24"/>
              </w:rPr>
              <w:t xml:space="preserve"> để đảm bảo tính chuẩn xác của văn bản quy phạm pháp luật.</w:t>
            </w:r>
          </w:p>
        </w:tc>
        <w:tc>
          <w:tcPr>
            <w:tcW w:w="2793" w:type="dxa"/>
            <w:vAlign w:val="center"/>
          </w:tcPr>
          <w:p w14:paraId="3633BA83" w14:textId="58E09602" w:rsidR="005E54B6" w:rsidRPr="000F1EC3" w:rsidRDefault="00FA5102" w:rsidP="005E54B6">
            <w:pPr>
              <w:spacing w:before="20" w:after="20"/>
              <w:jc w:val="both"/>
              <w:rPr>
                <w:rFonts w:ascii="Times New Roman" w:hAnsi="Times New Roman"/>
                <w:sz w:val="24"/>
              </w:rPr>
            </w:pPr>
            <w:r w:rsidRPr="000F1EC3">
              <w:rPr>
                <w:rFonts w:ascii="Times New Roman" w:hAnsi="Times New Roman"/>
                <w:sz w:val="24"/>
              </w:rPr>
              <w:t>Tiếp thu, rà soát, chỉnh sửa, đảm bảo tuân thủ thể thức văn bản.</w:t>
            </w:r>
          </w:p>
        </w:tc>
      </w:tr>
      <w:tr w:rsidR="005E54B6" w:rsidRPr="000F1EC3" w14:paraId="0F21C1E1" w14:textId="77777777" w:rsidTr="001B580E">
        <w:trPr>
          <w:gridAfter w:val="1"/>
          <w:wAfter w:w="8" w:type="dxa"/>
        </w:trPr>
        <w:tc>
          <w:tcPr>
            <w:tcW w:w="914" w:type="dxa"/>
            <w:vAlign w:val="center"/>
          </w:tcPr>
          <w:p w14:paraId="4D06E78A" w14:textId="77777777" w:rsidR="005E54B6" w:rsidRPr="000F1EC3" w:rsidRDefault="005E54B6" w:rsidP="005E54B6">
            <w:pPr>
              <w:spacing w:before="20" w:after="20"/>
              <w:jc w:val="both"/>
              <w:rPr>
                <w:rFonts w:ascii="Times New Roman" w:hAnsi="Times New Roman"/>
                <w:b/>
                <w:bCs/>
                <w:sz w:val="24"/>
              </w:rPr>
            </w:pPr>
          </w:p>
        </w:tc>
        <w:tc>
          <w:tcPr>
            <w:tcW w:w="992" w:type="dxa"/>
            <w:vMerge/>
            <w:vAlign w:val="center"/>
          </w:tcPr>
          <w:p w14:paraId="1CED6915"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5AE51D3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229E0DD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Dự thảo sử dụng trùng ký hiệu hai điểm “h”. Do đó, đề nghị chỉnh sửa lại ký hiệu các điểm cho phù hợp. </w:t>
            </w:r>
          </w:p>
          <w:p w14:paraId="2484A7B3"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Bên cạnh đó, quy định tại điểm “h) Hình thức khác theo quy định của pháp luật” còn mang tính quá rộng và chưa xác định rõ phạm vi áp dụng, dẫn đến nguy cơ áp dụng tùy nghi trong thực tiễn. Trong khi đó, việc xử lý kết cấu hạ tầng hàng hải và đường thủy nội địa về bản chất là xử lý tài sản công, nên cần được giới hạn trong khuôn khổ pháp luật về quản lý, sử dụng tài sản công để bảo đảm tính minh bạch và thống nhất của hệ thống pháp luật. Vì vậy, đề nghị cân nhắc sửa đổi theo hướng quy định cụ thể hơn, như: “các hình thức xử lý khác theo quy định của pháp luật về quản lý, sử dụng tài sản công”. Quy định như vậy vừa bảo đảm tính linh hoạt trong trường hợp pháp luật có bổ sung hình thức xử lý mới, vừa tránh việc mở rộng phạm vi áp dụng một cách không cần thiết.</w:t>
            </w:r>
          </w:p>
        </w:tc>
        <w:tc>
          <w:tcPr>
            <w:tcW w:w="2793" w:type="dxa"/>
            <w:vAlign w:val="center"/>
          </w:tcPr>
          <w:p w14:paraId="10224E47" w14:textId="785010C5" w:rsidR="005E54B6" w:rsidRPr="000F1EC3" w:rsidRDefault="00FA5102" w:rsidP="005E54B6">
            <w:pPr>
              <w:spacing w:before="20" w:after="20"/>
              <w:jc w:val="both"/>
              <w:rPr>
                <w:rFonts w:ascii="Times New Roman" w:hAnsi="Times New Roman"/>
                <w:sz w:val="24"/>
              </w:rPr>
            </w:pPr>
            <w:r w:rsidRPr="000F1EC3">
              <w:rPr>
                <w:rFonts w:ascii="Times New Roman" w:hAnsi="Times New Roman"/>
                <w:sz w:val="24"/>
              </w:rPr>
              <w:t>Nội dung này đã được rà soát, bãi bỏ tại dự thảo.</w:t>
            </w:r>
          </w:p>
        </w:tc>
      </w:tr>
      <w:tr w:rsidR="005E54B6" w:rsidRPr="000F1EC3" w14:paraId="4D8270EB" w14:textId="77777777" w:rsidTr="001B580E">
        <w:trPr>
          <w:gridAfter w:val="1"/>
          <w:wAfter w:w="8" w:type="dxa"/>
        </w:trPr>
        <w:tc>
          <w:tcPr>
            <w:tcW w:w="914" w:type="dxa"/>
            <w:vAlign w:val="center"/>
          </w:tcPr>
          <w:p w14:paraId="1D177E2D"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295048FC"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51</w:t>
            </w:r>
          </w:p>
        </w:tc>
        <w:tc>
          <w:tcPr>
            <w:tcW w:w="1620" w:type="dxa"/>
            <w:vAlign w:val="center"/>
          </w:tcPr>
          <w:p w14:paraId="080CADB6"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Thanh tra Chính phủ</w:t>
            </w:r>
          </w:p>
          <w:p w14:paraId="6970E180"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sz w:val="24"/>
              </w:rPr>
              <w:t>(Văn bản số 1317/ TTCP- C.VII ngày 07/5/2026)</w:t>
            </w:r>
          </w:p>
        </w:tc>
        <w:tc>
          <w:tcPr>
            <w:tcW w:w="8872" w:type="dxa"/>
            <w:vAlign w:val="center"/>
          </w:tcPr>
          <w:p w14:paraId="2A87E928"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bổ sung thêm quy định về nội dung bảo trì như sau: “Nội dung bảo trì gồm một, một số hoặc toàn bộ các công việc  kiểm tra, quan trắc, kiểm định chất lượng, bảo dưỡng và sửa chữa (thường xuyên, định kỳ) nhưng không bao gồm các hoạt động làm thay đổi công năng, quy mô công trình”</w:t>
            </w:r>
          </w:p>
        </w:tc>
        <w:tc>
          <w:tcPr>
            <w:tcW w:w="2793" w:type="dxa"/>
            <w:vAlign w:val="center"/>
          </w:tcPr>
          <w:p w14:paraId="3B086E76" w14:textId="1C9F5FB8" w:rsidR="005E54B6" w:rsidRPr="000F1EC3" w:rsidRDefault="00EE23E2" w:rsidP="005E54B6">
            <w:pPr>
              <w:spacing w:before="20" w:after="20"/>
              <w:jc w:val="both"/>
              <w:rPr>
                <w:rFonts w:ascii="Times New Roman" w:hAnsi="Times New Roman"/>
                <w:sz w:val="24"/>
              </w:rPr>
            </w:pPr>
            <w:r w:rsidRPr="000F1EC3">
              <w:rPr>
                <w:rFonts w:ascii="Times New Roman" w:hAnsi="Times New Roman"/>
                <w:sz w:val="24"/>
              </w:rPr>
              <w:t xml:space="preserve">Chi tiết các nội dung về bảo trì đã được biên tập lại theo hướng thực hiện theo pháp luật về xây dựng và chi tiết tại văn bản hướng </w:t>
            </w:r>
            <w:r w:rsidRPr="000F1EC3">
              <w:rPr>
                <w:rFonts w:ascii="Times New Roman" w:hAnsi="Times New Roman"/>
                <w:sz w:val="24"/>
              </w:rPr>
              <w:lastRenderedPageBreak/>
              <w:t>dẫn thực hiện (Điều 23 dự thảo).</w:t>
            </w:r>
          </w:p>
        </w:tc>
      </w:tr>
      <w:tr w:rsidR="005E54B6" w:rsidRPr="000F1EC3" w14:paraId="3A0DA7A7" w14:textId="77777777" w:rsidTr="001B580E">
        <w:trPr>
          <w:gridAfter w:val="1"/>
          <w:wAfter w:w="8" w:type="dxa"/>
        </w:trPr>
        <w:tc>
          <w:tcPr>
            <w:tcW w:w="914" w:type="dxa"/>
            <w:vAlign w:val="center"/>
          </w:tcPr>
          <w:p w14:paraId="2032CF39"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58448E1B"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52</w:t>
            </w:r>
          </w:p>
        </w:tc>
        <w:tc>
          <w:tcPr>
            <w:tcW w:w="1620" w:type="dxa"/>
            <w:vAlign w:val="center"/>
          </w:tcPr>
          <w:p w14:paraId="590C77D3"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 xml:space="preserve">ĐBQH Ninh Bình (văn bản số </w:t>
            </w:r>
            <w:r w:rsidRPr="000F1EC3">
              <w:rPr>
                <w:rFonts w:ascii="Times New Roman" w:hAnsi="Times New Roman"/>
                <w:b/>
                <w:sz w:val="24"/>
              </w:rPr>
              <w:t>58/ĐDBQH-VP ngày 11/5/2026</w:t>
            </w:r>
            <w:r w:rsidRPr="000F1EC3">
              <w:rPr>
                <w:rFonts w:ascii="Times New Roman" w:hAnsi="Times New Roman"/>
                <w:b/>
                <w:bCs/>
                <w:sz w:val="24"/>
              </w:rPr>
              <w:t>)</w:t>
            </w:r>
          </w:p>
        </w:tc>
        <w:tc>
          <w:tcPr>
            <w:tcW w:w="8872" w:type="dxa"/>
            <w:vAlign w:val="center"/>
          </w:tcPr>
          <w:p w14:paraId="4E5DC79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a) Tại tờ trình đề nghị xây dựng Dự án Bộ luật Hàng hải và Đường thủy Việt Nam (sửa đổi), cơ quan soạn thảo đã chỉ ra một số khó khăn, vướng mắc trong quá trình thực hiện Luật Giao thông đường thủy nội địa Việt Nam, trong đó có việc phân cấp, phân quyền quản lý nhà nước trong lĩnh vực giao thông đường thủy nội địa, mặc dù đã được quy định nhưng khi triển khai trên thực tế vẫn gặp nhiều bất cập; một số nhiệm vụ được giao cho địa phương nhưng chưa đi kèm đầy đủ về nguồn lực, kinh phí và hướng dẫn thực hiện, dẫn đến hiệu quả chưa cao.</w:t>
            </w:r>
          </w:p>
          <w:p w14:paraId="5DA35B80" w14:textId="43C6E01E"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Thực tiễn cho thấy, việc giao thêm trách nhiệm cho địa phương nhưng không bảo đảm các điều kiện thực hiện cần thiết có thể gây ảnh hưởng trực tiếp đến tính khả thi của chính sách.</w:t>
            </w:r>
          </w:p>
          <w:p w14:paraId="5EFA237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Khoản 2 Điều 52 của dự thảo Bộ Luật đang quy định Ủy ban nhân dân cấp tỉnh có trách nhiệm bảo trì kết cấu hạ tầng đường thủy nội địa thuộc phạm vi quản lý. Tuy nhiên, trên thực tế, nguồn thu từ hoạt động đường thủy tại nhiều địa phương còn hạn chế, trong khi nhu cầu kinh phí cho công tác bảo trì, duy tu, nạo vét là rất lớn. Do đó, nhiều địa phương sẽ gặp khó khăn trong việc cân đối ngân sách để thực hiện nhiệm vụ này, dẫn đến tình trạng một số tuyến luồng không được duy tu, nạo vét kịp thời, ảnh hưởng đến khả năng khai thác đồng bộ của toàn hệ thống giao thông đường thủy.</w:t>
            </w:r>
          </w:p>
          <w:p w14:paraId="70E41D78" w14:textId="3F90AB6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Để bảo đảm tính khả thi của quy định và gắn trách nhiệm và nguồn lực thực hiện, đề nghị cơ quan soạn thảo nghiên cứu bổ sung cơ chế hỗ trợ tài chính tại Điều 52 theo hướng quy định rõ ngân sách trung ương có cơ chế hỗ trợ có mục tiêu cho ngân sách địa phương trong công tác bảo trì, duy tu, nạo vét luồng tuyến; đồng thời, cần xác định rõ các tuyến ưu tiên được hỗ trợ.</w:t>
            </w:r>
          </w:p>
        </w:tc>
        <w:tc>
          <w:tcPr>
            <w:tcW w:w="2793" w:type="dxa"/>
            <w:vAlign w:val="center"/>
          </w:tcPr>
          <w:p w14:paraId="7A4B6925" w14:textId="1EDC9537" w:rsidR="005E54B6" w:rsidRPr="000F1EC3" w:rsidRDefault="00EE23E2" w:rsidP="005E54B6">
            <w:pPr>
              <w:spacing w:before="20" w:after="20"/>
              <w:jc w:val="both"/>
              <w:rPr>
                <w:rFonts w:ascii="Times New Roman" w:hAnsi="Times New Roman"/>
                <w:b/>
                <w:bCs/>
                <w:sz w:val="24"/>
              </w:rPr>
            </w:pPr>
            <w:r w:rsidRPr="000F1EC3">
              <w:rPr>
                <w:rFonts w:ascii="Times New Roman" w:hAnsi="Times New Roman"/>
                <w:sz w:val="24"/>
              </w:rPr>
              <w:t>Tiếp thu, nội dung phân cấp, phân quyền sẽ được thực hiện trên cơ sở đánh giá, đề xuất nguồn lực thực hiện phù hợp, tuân thủ các quy định của pháp luật liên quan như Luật Ngân sách,...</w:t>
            </w:r>
          </w:p>
        </w:tc>
      </w:tr>
      <w:tr w:rsidR="005E54B6" w:rsidRPr="000F1EC3" w14:paraId="61CE4752" w14:textId="77777777" w:rsidTr="001B580E">
        <w:trPr>
          <w:gridAfter w:val="1"/>
          <w:wAfter w:w="8" w:type="dxa"/>
        </w:trPr>
        <w:tc>
          <w:tcPr>
            <w:tcW w:w="914" w:type="dxa"/>
            <w:vAlign w:val="center"/>
          </w:tcPr>
          <w:p w14:paraId="38E58B35"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591A4C6A"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60F26861"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Đắc Lắc (văn bản số 121/ĐBQH-VP ngày 13/5/2026)</w:t>
            </w:r>
          </w:p>
        </w:tc>
        <w:tc>
          <w:tcPr>
            <w:tcW w:w="8872" w:type="dxa"/>
            <w:vAlign w:val="center"/>
          </w:tcPr>
          <w:p w14:paraId="4E9B4454"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xml:space="preserve">Tại tờ trình đề nghị xây dựng Dự án Bộ luật Hàng hải và Đường thủy Việt Nam (sửa đổi), cơ quan soạn thảo đã chỉ ra một số khó khăn, vướng mắc trong quá trình thực hiện Luật Giao thông đường thủy nội địa Việt Nam, trong đó có việc phân cấp, phân quyền quản lý nhà nước trong lĩnh vực giao thông đường thủy nội địa, mặc dù đã được quy định nhưng khi triển khai trên thực tế vẫn gặp nhiều bất cập; một số nhiệm vụ được giao cho địa phương nhưng chưa đi kèm đầy đủ về nguồn lực, kinh phí và hướng dẫn thực hiện, dẫn đến hiệu quả chưa cao. Thực tiễn cho thấy, việc giao thêm trách nhiệm cho địa phương nhưng không bảo đảm các điều kiện thực hiện cần thiết có thể gây ảnh hưởng trực tiếp đến tính khả thi của chính sách. Khoản 2 Điều 52 của dự thảo Bộ Luật đang quy định Ủy ban nhân dân cấp tỉnh có trách nhiệm bảo trì kết cấu hạ tầng đường thủy nội địa thuộc phạm vi quản lý. Tuy nhiên, trên thực tế, nguồn thu từ hoạt động đường thủy tại nhiều địa phương còn hạn chế, </w:t>
            </w:r>
            <w:r w:rsidRPr="000F1EC3">
              <w:rPr>
                <w:rFonts w:ascii="Times New Roman" w:hAnsi="Times New Roman"/>
                <w:sz w:val="24"/>
              </w:rPr>
              <w:lastRenderedPageBreak/>
              <w:t>trong khi nhu cầu kinh phí cho công tác bảo trì, duy tu, nạo vét là rất lớn. Do đó, nhiều địa phương sẽ gặp khó khăn trong việc cân đối ngân sách để thực hiện nhiệm vụ này, dẫn đến tình trạng một số tuyến luồng không được duy tu, nạo vét kịp thời, ảnh hưởng đến khả năng khai thác đồng bộ của toàn hệ thống giao thông đường thủy.</w:t>
            </w:r>
          </w:p>
          <w:p w14:paraId="3599245B"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Để bảo đảm tính khả thi của quy định và gắn trách nhiệm và nguồn lực thực hiện, đề nghị cơ quan soạn thảo nghiên cứu bổ sung cơ chế hỗ trợ tài chính tại Điều 52 theo hướng quy định rõ ngân sách trung ương có cơ chế hỗ trợ có mục tiêu cho ngân sách địa phương trong công tác bảo trì, duy tu, nạo vét luồng tuyến; đồng thời, cần xác định rõ các tuyến ưu tiên được hỗ trợ.</w:t>
            </w:r>
          </w:p>
        </w:tc>
        <w:tc>
          <w:tcPr>
            <w:tcW w:w="2793" w:type="dxa"/>
            <w:vAlign w:val="center"/>
          </w:tcPr>
          <w:p w14:paraId="4F1488BB" w14:textId="537D399C" w:rsidR="005E54B6" w:rsidRPr="000F1EC3" w:rsidRDefault="00EE23E2" w:rsidP="005E54B6">
            <w:pPr>
              <w:spacing w:before="20" w:after="20"/>
              <w:jc w:val="both"/>
              <w:rPr>
                <w:rFonts w:ascii="Times New Roman" w:hAnsi="Times New Roman"/>
                <w:b/>
                <w:bCs/>
                <w:sz w:val="24"/>
              </w:rPr>
            </w:pPr>
            <w:r w:rsidRPr="000F1EC3">
              <w:rPr>
                <w:rFonts w:ascii="Times New Roman" w:hAnsi="Times New Roman"/>
                <w:sz w:val="24"/>
              </w:rPr>
              <w:lastRenderedPageBreak/>
              <w:t>Tiếp thu, nội dung phân cấp, phân quyền sẽ được thực hiện trên cơ sở đánh giá, đề xuất nguồn lực thực hiện phù hợp, tuân thủ các quy định của pháp luật liên quan như Luật Ngân sách,...</w:t>
            </w:r>
          </w:p>
        </w:tc>
      </w:tr>
      <w:tr w:rsidR="005E54B6" w:rsidRPr="000F1EC3" w14:paraId="02AA69A9" w14:textId="77777777" w:rsidTr="001B580E">
        <w:trPr>
          <w:gridAfter w:val="1"/>
          <w:wAfter w:w="8" w:type="dxa"/>
        </w:trPr>
        <w:tc>
          <w:tcPr>
            <w:tcW w:w="914" w:type="dxa"/>
            <w:vAlign w:val="center"/>
          </w:tcPr>
          <w:p w14:paraId="41930961" w14:textId="77777777" w:rsidR="005E54B6" w:rsidRPr="000F1EC3" w:rsidRDefault="005E54B6" w:rsidP="005E54B6">
            <w:pPr>
              <w:spacing w:before="20" w:after="20"/>
              <w:jc w:val="both"/>
              <w:rPr>
                <w:rFonts w:ascii="Times New Roman" w:hAnsi="Times New Roman"/>
                <w:b/>
                <w:bCs/>
                <w:sz w:val="24"/>
              </w:rPr>
            </w:pPr>
          </w:p>
        </w:tc>
        <w:tc>
          <w:tcPr>
            <w:tcW w:w="992" w:type="dxa"/>
            <w:vAlign w:val="center"/>
          </w:tcPr>
          <w:p w14:paraId="40DB99FE"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43AF7140"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3C98852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Điều 52–64: Các điều về quy hoạch, giao đất, giao khu nước: Đề xuất: Đề nghị quy định rõ cơ chế phối hợp giữa quy hoạch cảng biển với quy hoạch sử dụng đất, khu logistics, giao thông sau cảng, depot, ICD, đường bộ, đường sắt. Diễn giải: Luật Đất đai 2024 điều chỉnh chế độ quản lý, sử dụng đất và quyền, nghĩa vụ người sử dụng đất. Nếu Bộ luật Hàng hải không đồng bộ với Luật Đất đai, doanh nghiệp cảng có thể gặp vướng mắc về thuê đất, giao đất, chuyển mục đích sử dụng, mở rộng bãi sau cảng.</w:t>
            </w:r>
          </w:p>
        </w:tc>
        <w:tc>
          <w:tcPr>
            <w:tcW w:w="2793" w:type="dxa"/>
            <w:vAlign w:val="center"/>
          </w:tcPr>
          <w:p w14:paraId="42383DDF" w14:textId="323B41E0" w:rsidR="005E54B6" w:rsidRPr="000F1EC3" w:rsidRDefault="00EE23E2" w:rsidP="005E54B6">
            <w:pPr>
              <w:spacing w:before="20" w:after="20"/>
              <w:jc w:val="both"/>
              <w:rPr>
                <w:rFonts w:ascii="Times New Roman" w:hAnsi="Times New Roman"/>
                <w:sz w:val="24"/>
              </w:rPr>
            </w:pPr>
            <w:r w:rsidRPr="000F1EC3">
              <w:rPr>
                <w:rFonts w:ascii="Times New Roman" w:hAnsi="Times New Roman"/>
                <w:sz w:val="24"/>
              </w:rPr>
              <w:t>Nội dung dự kiến được quy đinh tại các văn bản hướng dẫn thực hiện.</w:t>
            </w:r>
          </w:p>
        </w:tc>
      </w:tr>
      <w:tr w:rsidR="005E54B6" w:rsidRPr="000F1EC3" w14:paraId="39F50823" w14:textId="77777777" w:rsidTr="001B580E">
        <w:trPr>
          <w:gridAfter w:val="1"/>
          <w:wAfter w:w="8" w:type="dxa"/>
        </w:trPr>
        <w:tc>
          <w:tcPr>
            <w:tcW w:w="914" w:type="dxa"/>
            <w:vAlign w:val="center"/>
          </w:tcPr>
          <w:p w14:paraId="5EA41D1C"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58FD9529"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54</w:t>
            </w:r>
          </w:p>
        </w:tc>
        <w:tc>
          <w:tcPr>
            <w:tcW w:w="1620" w:type="dxa"/>
            <w:vAlign w:val="center"/>
          </w:tcPr>
          <w:p w14:paraId="13503C82"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UBND TP Hải Phòng (văn bản số 895/UBND-XDCT ngày 12/5/2026)</w:t>
            </w:r>
          </w:p>
        </w:tc>
        <w:tc>
          <w:tcPr>
            <w:tcW w:w="8872" w:type="dxa"/>
            <w:vAlign w:val="center"/>
          </w:tcPr>
          <w:p w14:paraId="082E0F5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các đô thị lớn, việc sử dụng không gian ngầm ven sông, dưới lòng sông, biển (như hầm vượt sông, metro ngầm) được xác định trong Quy hoạch không gian ngầm đô thị theo quy định tại Điều 34 Luật Quy hoạch đô thị và nông thôn. Tuy nhiên, trong dự thảo Bộ Luật hiện đang xác định phạm vi bảo vệ công trình hàng hải, đường thủy nội địa nhưng chưa tính đến ảnh hưởng đối với quy hoạch không gian ngầm đô thị. Đề nghị cơ quan chủ trì soạn thảo chỉnh sửa Điều này theo hướng xác định phạm vi bảo vệ công trình hàng hải và đường thủy nội địa trong phạm vi đô thị phải đồng bộ với quy hoạch không gian ngầm đô thị, quy hoạch hạ tầng kỹ thuật đô thị để đảm bảo sử dụng tiết kiệm, hiệu quả không gian đô thị</w:t>
            </w:r>
          </w:p>
        </w:tc>
        <w:tc>
          <w:tcPr>
            <w:tcW w:w="2793" w:type="dxa"/>
            <w:vAlign w:val="center"/>
          </w:tcPr>
          <w:p w14:paraId="6A0E197F" w14:textId="675002B7" w:rsidR="005E54B6" w:rsidRPr="000F1EC3" w:rsidRDefault="008D0F5B" w:rsidP="005E54B6">
            <w:pPr>
              <w:spacing w:before="20" w:after="20"/>
              <w:jc w:val="both"/>
              <w:rPr>
                <w:rFonts w:ascii="Times New Roman" w:hAnsi="Times New Roman"/>
                <w:sz w:val="24"/>
              </w:rPr>
            </w:pPr>
            <w:r w:rsidRPr="000F1EC3">
              <w:rPr>
                <w:rFonts w:ascii="Times New Roman" w:hAnsi="Times New Roman"/>
                <w:sz w:val="24"/>
              </w:rPr>
              <w:t>Nội dung này tiếp thu, thực hiện trong hoạt động quy hoạch chuyên ngành.</w:t>
            </w:r>
          </w:p>
        </w:tc>
      </w:tr>
      <w:tr w:rsidR="005E54B6" w:rsidRPr="000F1EC3" w14:paraId="6D2293EB" w14:textId="77777777" w:rsidTr="001B580E">
        <w:trPr>
          <w:gridAfter w:val="1"/>
          <w:wAfter w:w="8" w:type="dxa"/>
        </w:trPr>
        <w:tc>
          <w:tcPr>
            <w:tcW w:w="914" w:type="dxa"/>
            <w:vAlign w:val="center"/>
          </w:tcPr>
          <w:p w14:paraId="0845E8E1" w14:textId="77777777" w:rsidR="005E54B6" w:rsidRPr="000F1EC3" w:rsidRDefault="005E54B6" w:rsidP="005E54B6">
            <w:pPr>
              <w:spacing w:before="20" w:after="20"/>
              <w:jc w:val="both"/>
              <w:rPr>
                <w:rFonts w:ascii="Times New Roman" w:hAnsi="Times New Roman"/>
                <w:b/>
                <w:bCs/>
                <w:sz w:val="24"/>
              </w:rPr>
            </w:pPr>
          </w:p>
        </w:tc>
        <w:tc>
          <w:tcPr>
            <w:tcW w:w="992" w:type="dxa"/>
            <w:vMerge/>
            <w:vAlign w:val="center"/>
          </w:tcPr>
          <w:p w14:paraId="7D03C21F"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143B1CEB"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Bộ Công Thương (văn bản số 3357/BCT-PC ngày 13/5/2026)</w:t>
            </w:r>
          </w:p>
        </w:tc>
        <w:tc>
          <w:tcPr>
            <w:tcW w:w="8872" w:type="dxa"/>
            <w:vAlign w:val="center"/>
          </w:tcPr>
          <w:p w14:paraId="3AD12E60"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Đề nghị nghiên cứu bổ sung quy định về khoảng cách thông thuyền (khẩu độ thông thuyền) an toàn đối với các đường dây điện cao thế băng sông, quy định rõ trách nhiệm của chủ tàu trong việc duy trì khoảng cách an toàn với đường dây điện để tránh các sự cố phóng điện gây nguy hiểm tính mạng con người và mất điện diện rộng.</w:t>
            </w:r>
          </w:p>
        </w:tc>
        <w:tc>
          <w:tcPr>
            <w:tcW w:w="2793" w:type="dxa"/>
            <w:vAlign w:val="center"/>
          </w:tcPr>
          <w:p w14:paraId="05ECEBE6" w14:textId="4AFA6AB9" w:rsidR="005E54B6" w:rsidRPr="000F1EC3" w:rsidRDefault="008D0F5B" w:rsidP="005E54B6">
            <w:pPr>
              <w:spacing w:before="20" w:after="20"/>
              <w:jc w:val="both"/>
              <w:rPr>
                <w:rFonts w:ascii="Times New Roman" w:hAnsi="Times New Roman"/>
                <w:b/>
                <w:bCs/>
                <w:sz w:val="24"/>
              </w:rPr>
            </w:pPr>
            <w:r w:rsidRPr="000F1EC3">
              <w:rPr>
                <w:rFonts w:ascii="Times New Roman" w:hAnsi="Times New Roman"/>
                <w:sz w:val="24"/>
              </w:rPr>
              <w:t>Nội dung này tiếp thu, nghiên cứu trong quá trình xây dựng văn bản hướng dẫn thực hiện.</w:t>
            </w:r>
          </w:p>
        </w:tc>
      </w:tr>
      <w:tr w:rsidR="005E54B6" w:rsidRPr="000F1EC3" w14:paraId="073FA7CE" w14:textId="77777777" w:rsidTr="001B580E">
        <w:trPr>
          <w:gridAfter w:val="1"/>
          <w:wAfter w:w="8" w:type="dxa"/>
        </w:trPr>
        <w:tc>
          <w:tcPr>
            <w:tcW w:w="914" w:type="dxa"/>
            <w:vAlign w:val="center"/>
          </w:tcPr>
          <w:p w14:paraId="62919581"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06216EE0"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55</w:t>
            </w:r>
          </w:p>
        </w:tc>
        <w:tc>
          <w:tcPr>
            <w:tcW w:w="1620" w:type="dxa"/>
            <w:vAlign w:val="center"/>
          </w:tcPr>
          <w:p w14:paraId="4BA74843"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sz w:val="24"/>
              </w:rPr>
              <w:t xml:space="preserve">Sở Xây dựng Vĩnh Long (văn bản số </w:t>
            </w:r>
            <w:r w:rsidRPr="000F1EC3">
              <w:rPr>
                <w:rFonts w:ascii="Times New Roman" w:hAnsi="Times New Roman"/>
                <w:b/>
                <w:sz w:val="24"/>
              </w:rPr>
              <w:lastRenderedPageBreak/>
              <w:t>3079/SXD-VTAT ngày 11/5/2026)</w:t>
            </w:r>
          </w:p>
        </w:tc>
        <w:tc>
          <w:tcPr>
            <w:tcW w:w="8872" w:type="dxa"/>
            <w:vAlign w:val="center"/>
          </w:tcPr>
          <w:p w14:paraId="6B8C17B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 xml:space="preserve">Tại khoản 2 Điều 55 có quy định tổ chức, cá nhân khi phát hiện công trình bị hư hỏng phải báo cho UBND cấp xã. Đề xuất cần quy định rõ hoặc có hướng dẫn về thời hạn xử lý tin </w:t>
            </w:r>
            <w:r w:rsidRPr="000F1EC3">
              <w:rPr>
                <w:rFonts w:ascii="Times New Roman" w:hAnsi="Times New Roman"/>
                <w:sz w:val="24"/>
              </w:rPr>
              <w:lastRenderedPageBreak/>
              <w:t xml:space="preserve">báo của cơ quan chức năng sau khi nhận được tin báo. Điều này giúp ngăn chặn kịp thời các sự cố gây mất an toàn giao thông. </w:t>
            </w:r>
          </w:p>
          <w:p w14:paraId="7876BE77"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 Đề xuất khi ban hành các Nghị định, Thông tư hướng dẫn đối với thủ tục hành chính công bố hoạt động bến thủy nội địa cần đơn giản hóa thủ tục hành chính nhất là thủ tục công bố hoạt động của bến khách ngang sông, tạo điều kiện thuận lợi, phục vụ nhu cầu đi lại của Nhân dân khu vực vùng sâu, vùng xa.</w:t>
            </w:r>
          </w:p>
        </w:tc>
        <w:tc>
          <w:tcPr>
            <w:tcW w:w="2793" w:type="dxa"/>
            <w:vAlign w:val="center"/>
          </w:tcPr>
          <w:p w14:paraId="41ED1A63" w14:textId="77777777" w:rsidR="005E54B6" w:rsidRPr="000F1EC3" w:rsidRDefault="008D0F5B" w:rsidP="005E54B6">
            <w:pPr>
              <w:spacing w:before="20" w:after="20"/>
              <w:jc w:val="both"/>
              <w:rPr>
                <w:rFonts w:ascii="Times New Roman" w:hAnsi="Times New Roman"/>
                <w:sz w:val="24"/>
              </w:rPr>
            </w:pPr>
            <w:r w:rsidRPr="000F1EC3">
              <w:rPr>
                <w:rFonts w:ascii="Times New Roman" w:hAnsi="Times New Roman"/>
                <w:sz w:val="24"/>
              </w:rPr>
              <w:lastRenderedPageBreak/>
              <w:t xml:space="preserve">Nội dung số 1 được bãi bỏ, chỉ giao trách nhiêm chung </w:t>
            </w:r>
            <w:r w:rsidRPr="000F1EC3">
              <w:rPr>
                <w:rFonts w:ascii="Times New Roman" w:hAnsi="Times New Roman"/>
                <w:sz w:val="24"/>
              </w:rPr>
              <w:lastRenderedPageBreak/>
              <w:t>cho UBND tại Điều 12 dự thảo.</w:t>
            </w:r>
          </w:p>
          <w:p w14:paraId="7E75C626" w14:textId="19BA6DD0" w:rsidR="008D0F5B" w:rsidRPr="000F1EC3" w:rsidRDefault="002F0D49" w:rsidP="005E54B6">
            <w:pPr>
              <w:spacing w:before="20" w:after="20"/>
              <w:jc w:val="both"/>
              <w:rPr>
                <w:rFonts w:ascii="Times New Roman" w:hAnsi="Times New Roman"/>
                <w:b/>
                <w:bCs/>
                <w:sz w:val="24"/>
              </w:rPr>
            </w:pPr>
            <w:r w:rsidRPr="000F1EC3">
              <w:rPr>
                <w:rFonts w:ascii="Times New Roman" w:hAnsi="Times New Roman"/>
                <w:sz w:val="24"/>
              </w:rPr>
              <w:t>Nội dung số 2 được tiếp thu, nghiên cứu trong quá trình xây dựng văn bản hướng dẫn thực hiện.</w:t>
            </w:r>
          </w:p>
        </w:tc>
      </w:tr>
      <w:tr w:rsidR="005E54B6" w:rsidRPr="000F1EC3" w14:paraId="14E99B6A" w14:textId="77777777" w:rsidTr="001B580E">
        <w:trPr>
          <w:gridAfter w:val="1"/>
          <w:wAfter w:w="8" w:type="dxa"/>
        </w:trPr>
        <w:tc>
          <w:tcPr>
            <w:tcW w:w="914" w:type="dxa"/>
            <w:vAlign w:val="center"/>
          </w:tcPr>
          <w:p w14:paraId="30153106"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38068CF2"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56</w:t>
            </w:r>
          </w:p>
        </w:tc>
        <w:tc>
          <w:tcPr>
            <w:tcW w:w="1620" w:type="dxa"/>
            <w:vAlign w:val="center"/>
          </w:tcPr>
          <w:p w14:paraId="6E59EA9D"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Lào Cai (văn bản số 2441/SXD-VTPTNL ngày 8/5/2026)</w:t>
            </w:r>
          </w:p>
        </w:tc>
        <w:tc>
          <w:tcPr>
            <w:tcW w:w="8872" w:type="dxa"/>
            <w:vAlign w:val="center"/>
          </w:tcPr>
          <w:p w14:paraId="0A8A8CEA"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2 Điều 56 dự thảo “2. Tàu sông là phương tiện nổi di động chuyên dùng hoạt động trên đường thuỷ nội địa” Đề nghị sửa đổi, bổ sung như sau: “2. Tàu sông là phương tiện nổi di động được đăng ký chuyên dùng hoạt động trên đường thuỷ nội địa”. 3 Lý do: Để quy định thống nhất như tại Khoản 2 Điều 57 “2. Tàu sông Việt Nam là tàu sông, đã được cơ quan có thẩm quyền của Việt Nam đăng ký hành chính theo quy định”</w:t>
            </w:r>
          </w:p>
        </w:tc>
        <w:tc>
          <w:tcPr>
            <w:tcW w:w="2793" w:type="dxa"/>
            <w:vAlign w:val="center"/>
          </w:tcPr>
          <w:p w14:paraId="0E74939D" w14:textId="294FB4FE" w:rsidR="002F0D49" w:rsidRPr="000F1EC3" w:rsidRDefault="002F0D49" w:rsidP="005E54B6">
            <w:pPr>
              <w:spacing w:before="20" w:after="20"/>
              <w:jc w:val="both"/>
              <w:rPr>
                <w:rFonts w:ascii="Times New Roman" w:hAnsi="Times New Roman"/>
                <w:sz w:val="24"/>
              </w:rPr>
            </w:pPr>
            <w:r w:rsidRPr="000F1EC3">
              <w:rPr>
                <w:rFonts w:ascii="Times New Roman" w:hAnsi="Times New Roman"/>
                <w:sz w:val="24"/>
              </w:rPr>
              <w:t>Nội dung này đã được nghiên cứu, biên tập lại tại khoản 2 Điều 26 dự thảo như sau: "Tàu sông là tàu thuyền được đăng ký chuyên hoạt động trên đường thuỷ nội địa." nhằm đảm bảo tính kế thừa, phù hợp với thực tiễn và thống nhất quy định.</w:t>
            </w:r>
          </w:p>
          <w:p w14:paraId="004C9480" w14:textId="52F3813D" w:rsidR="002F0D49" w:rsidRPr="000F1EC3" w:rsidRDefault="002F0D49" w:rsidP="005E54B6">
            <w:pPr>
              <w:spacing w:before="20" w:after="20"/>
              <w:jc w:val="both"/>
              <w:rPr>
                <w:rFonts w:ascii="Times New Roman" w:hAnsi="Times New Roman"/>
                <w:b/>
                <w:bCs/>
                <w:sz w:val="24"/>
              </w:rPr>
            </w:pPr>
          </w:p>
        </w:tc>
      </w:tr>
      <w:tr w:rsidR="005E54B6" w:rsidRPr="000F1EC3" w14:paraId="0DC2CCD0" w14:textId="77777777" w:rsidTr="001B580E">
        <w:trPr>
          <w:gridAfter w:val="1"/>
          <w:wAfter w:w="8" w:type="dxa"/>
        </w:trPr>
        <w:tc>
          <w:tcPr>
            <w:tcW w:w="914" w:type="dxa"/>
            <w:vAlign w:val="center"/>
          </w:tcPr>
          <w:p w14:paraId="60FBEBBA" w14:textId="77777777" w:rsidR="005E54B6" w:rsidRPr="00845D33" w:rsidRDefault="005E54B6"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3B8F2BF3" w14:textId="77777777" w:rsidR="005E54B6" w:rsidRPr="000F1EC3" w:rsidRDefault="005E54B6" w:rsidP="005E54B6">
            <w:pPr>
              <w:spacing w:before="20" w:after="20"/>
              <w:jc w:val="both"/>
              <w:rPr>
                <w:rFonts w:ascii="Times New Roman" w:hAnsi="Times New Roman"/>
                <w:b/>
                <w:bCs/>
                <w:sz w:val="24"/>
              </w:rPr>
            </w:pPr>
            <w:r w:rsidRPr="000F1EC3">
              <w:rPr>
                <w:rFonts w:ascii="Times New Roman" w:hAnsi="Times New Roman"/>
                <w:b/>
                <w:bCs/>
                <w:sz w:val="24"/>
              </w:rPr>
              <w:t>Điều 57</w:t>
            </w:r>
          </w:p>
        </w:tc>
        <w:tc>
          <w:tcPr>
            <w:tcW w:w="1620" w:type="dxa"/>
            <w:vAlign w:val="center"/>
          </w:tcPr>
          <w:p w14:paraId="7E95CC1C" w14:textId="77777777" w:rsidR="005E54B6" w:rsidRPr="000F1EC3" w:rsidRDefault="005E54B6" w:rsidP="005E54B6">
            <w:pPr>
              <w:spacing w:before="20" w:after="20"/>
              <w:jc w:val="center"/>
              <w:rPr>
                <w:rFonts w:ascii="Times New Roman" w:hAnsi="Times New Roman"/>
                <w:b/>
                <w:sz w:val="24"/>
              </w:rPr>
            </w:pPr>
            <w:r w:rsidRPr="000F1EC3">
              <w:rPr>
                <w:rFonts w:ascii="Times New Roman" w:hAnsi="Times New Roman"/>
                <w:b/>
                <w:bCs/>
                <w:sz w:val="24"/>
              </w:rPr>
              <w:t>Sở Xây dựng Khánh Hòa (văn bản số 4773/SXD-QLVT ngày 11/5/2026)</w:t>
            </w:r>
          </w:p>
        </w:tc>
        <w:tc>
          <w:tcPr>
            <w:tcW w:w="8872" w:type="dxa"/>
            <w:vAlign w:val="center"/>
          </w:tcPr>
          <w:p w14:paraId="53C44F46"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1 Điều 57: đề nghị cơ quan soạn thảo bổ sung dấu câu để bảo đảm rõ nghĩa.</w:t>
            </w:r>
          </w:p>
        </w:tc>
        <w:tc>
          <w:tcPr>
            <w:tcW w:w="2793" w:type="dxa"/>
            <w:vAlign w:val="center"/>
          </w:tcPr>
          <w:p w14:paraId="72F88104" w14:textId="1DB57D23" w:rsidR="002F0D49" w:rsidRPr="000F1EC3" w:rsidRDefault="002F0D49" w:rsidP="002F0D49">
            <w:pPr>
              <w:spacing w:before="20" w:after="20"/>
              <w:jc w:val="both"/>
              <w:rPr>
                <w:rFonts w:ascii="Times New Roman" w:hAnsi="Times New Roman"/>
                <w:sz w:val="24"/>
              </w:rPr>
            </w:pPr>
            <w:r w:rsidRPr="000F1EC3">
              <w:rPr>
                <w:rFonts w:ascii="Times New Roman" w:hAnsi="Times New Roman"/>
                <w:sz w:val="24"/>
              </w:rPr>
              <w:t>Nội dung này đã được nghiên cứu, biên tập lại tại khoản 1 Điều 26 dự thảo như sau: "Tàu biển là tàu thuyền được đăng ký chuyên hoạt động trên biển." nhằm đảm bảo tính kế thừa, phù hợp với thực tiễn và thống nhất quy định.</w:t>
            </w:r>
          </w:p>
          <w:p w14:paraId="2D220912" w14:textId="77777777" w:rsidR="005E54B6" w:rsidRPr="000F1EC3" w:rsidRDefault="005E54B6" w:rsidP="005E54B6">
            <w:pPr>
              <w:spacing w:before="20" w:after="20"/>
              <w:jc w:val="both"/>
              <w:rPr>
                <w:rFonts w:ascii="Times New Roman" w:hAnsi="Times New Roman"/>
                <w:b/>
                <w:bCs/>
                <w:sz w:val="24"/>
              </w:rPr>
            </w:pPr>
          </w:p>
        </w:tc>
      </w:tr>
      <w:tr w:rsidR="005E54B6" w:rsidRPr="000F1EC3" w14:paraId="0D6B814D" w14:textId="77777777" w:rsidTr="001B580E">
        <w:trPr>
          <w:gridAfter w:val="1"/>
          <w:wAfter w:w="8" w:type="dxa"/>
        </w:trPr>
        <w:tc>
          <w:tcPr>
            <w:tcW w:w="914" w:type="dxa"/>
            <w:vAlign w:val="center"/>
          </w:tcPr>
          <w:p w14:paraId="0537EFCE" w14:textId="77777777" w:rsidR="005E54B6" w:rsidRPr="000F1EC3" w:rsidRDefault="005E54B6" w:rsidP="005E54B6">
            <w:pPr>
              <w:spacing w:before="20" w:after="20"/>
              <w:jc w:val="both"/>
              <w:rPr>
                <w:rFonts w:ascii="Times New Roman" w:hAnsi="Times New Roman"/>
                <w:b/>
                <w:bCs/>
                <w:sz w:val="24"/>
              </w:rPr>
            </w:pPr>
          </w:p>
        </w:tc>
        <w:tc>
          <w:tcPr>
            <w:tcW w:w="992" w:type="dxa"/>
            <w:vMerge/>
            <w:vAlign w:val="center"/>
          </w:tcPr>
          <w:p w14:paraId="4DF753B4"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2452FE21"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Bộ Văn hóa, thể thao và du lịch (văn bản số 2655/BVHTT</w:t>
            </w:r>
            <w:r w:rsidRPr="000F1EC3">
              <w:rPr>
                <w:rFonts w:ascii="Times New Roman" w:hAnsi="Times New Roman"/>
                <w:b/>
                <w:bCs/>
                <w:sz w:val="24"/>
              </w:rPr>
              <w:lastRenderedPageBreak/>
              <w:t>DL-PC ngày 13/5/2026)</w:t>
            </w:r>
          </w:p>
        </w:tc>
        <w:tc>
          <w:tcPr>
            <w:tcW w:w="8872" w:type="dxa"/>
            <w:vAlign w:val="center"/>
          </w:tcPr>
          <w:p w14:paraId="1EEBF462"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lastRenderedPageBreak/>
              <w:t>Khoản 2 Điều 57, khoản 2 Điều 61, điểm a khoản 3 Điều 62: Cân nhắc các cụm từ “đăng ký hành chính” , “đăng ký quản lý hành chính” để bảo đảm rõ nghĩa.</w:t>
            </w:r>
          </w:p>
        </w:tc>
        <w:tc>
          <w:tcPr>
            <w:tcW w:w="2793" w:type="dxa"/>
            <w:vAlign w:val="center"/>
          </w:tcPr>
          <w:p w14:paraId="5D0B1683" w14:textId="0E02B7DE" w:rsidR="005E54B6" w:rsidRPr="000F1EC3" w:rsidRDefault="002F0D49" w:rsidP="005E54B6">
            <w:pPr>
              <w:spacing w:before="20" w:after="20"/>
              <w:jc w:val="both"/>
              <w:rPr>
                <w:rFonts w:ascii="Times New Roman" w:hAnsi="Times New Roman"/>
                <w:sz w:val="24"/>
              </w:rPr>
            </w:pPr>
            <w:r w:rsidRPr="000F1EC3">
              <w:rPr>
                <w:rFonts w:ascii="Times New Roman" w:hAnsi="Times New Roman"/>
                <w:sz w:val="24"/>
              </w:rPr>
              <w:t>Tiếp thu, rà soát, đảm bảo sử dụng thống nhất cụm từ "đăng ký hành chính".</w:t>
            </w:r>
          </w:p>
        </w:tc>
      </w:tr>
      <w:tr w:rsidR="005E54B6" w:rsidRPr="000F1EC3" w14:paraId="0E3CB49D" w14:textId="77777777" w:rsidTr="001B580E">
        <w:trPr>
          <w:gridAfter w:val="1"/>
          <w:wAfter w:w="8" w:type="dxa"/>
        </w:trPr>
        <w:tc>
          <w:tcPr>
            <w:tcW w:w="914" w:type="dxa"/>
            <w:vAlign w:val="center"/>
          </w:tcPr>
          <w:p w14:paraId="704C150D" w14:textId="77777777" w:rsidR="005E54B6" w:rsidRPr="000F1EC3" w:rsidRDefault="005E54B6" w:rsidP="005E54B6">
            <w:pPr>
              <w:spacing w:before="20" w:after="20"/>
              <w:jc w:val="both"/>
              <w:rPr>
                <w:rFonts w:ascii="Times New Roman" w:hAnsi="Times New Roman"/>
                <w:b/>
                <w:bCs/>
                <w:sz w:val="24"/>
              </w:rPr>
            </w:pPr>
          </w:p>
        </w:tc>
        <w:tc>
          <w:tcPr>
            <w:tcW w:w="992" w:type="dxa"/>
            <w:vMerge/>
            <w:vAlign w:val="center"/>
          </w:tcPr>
          <w:p w14:paraId="31D088C3" w14:textId="77777777" w:rsidR="005E54B6" w:rsidRPr="000F1EC3" w:rsidRDefault="005E54B6" w:rsidP="005E54B6">
            <w:pPr>
              <w:spacing w:before="20" w:after="20"/>
              <w:jc w:val="both"/>
              <w:rPr>
                <w:rFonts w:ascii="Times New Roman" w:hAnsi="Times New Roman"/>
                <w:b/>
                <w:bCs/>
                <w:sz w:val="24"/>
              </w:rPr>
            </w:pPr>
          </w:p>
        </w:tc>
        <w:tc>
          <w:tcPr>
            <w:tcW w:w="1620" w:type="dxa"/>
            <w:vAlign w:val="center"/>
          </w:tcPr>
          <w:p w14:paraId="281B7031" w14:textId="77777777" w:rsidR="005E54B6" w:rsidRPr="000F1EC3" w:rsidRDefault="005E54B6" w:rsidP="005E54B6">
            <w:pPr>
              <w:spacing w:before="20" w:after="20"/>
              <w:jc w:val="center"/>
              <w:rPr>
                <w:rFonts w:ascii="Times New Roman" w:hAnsi="Times New Roman"/>
                <w:b/>
                <w:bCs/>
                <w:sz w:val="24"/>
              </w:rPr>
            </w:pPr>
            <w:r w:rsidRPr="000F1EC3">
              <w:rPr>
                <w:rFonts w:ascii="Times New Roman" w:hAnsi="Times New Roman"/>
                <w:b/>
                <w:bCs/>
                <w:sz w:val="24"/>
              </w:rPr>
              <w:t>ĐBQH Vĩnh Long (văn bản số 155/DBQH-VP ngày 11/5/2026)</w:t>
            </w:r>
          </w:p>
        </w:tc>
        <w:tc>
          <w:tcPr>
            <w:tcW w:w="8872" w:type="dxa"/>
            <w:vAlign w:val="center"/>
          </w:tcPr>
          <w:p w14:paraId="3FABC8FD" w14:textId="77777777" w:rsidR="005E54B6" w:rsidRPr="000F1EC3" w:rsidRDefault="005E54B6" w:rsidP="005E54B6">
            <w:pPr>
              <w:spacing w:before="20" w:after="20"/>
              <w:jc w:val="both"/>
              <w:rPr>
                <w:rFonts w:ascii="Times New Roman" w:hAnsi="Times New Roman"/>
                <w:sz w:val="24"/>
              </w:rPr>
            </w:pPr>
            <w:r w:rsidRPr="000F1EC3">
              <w:rPr>
                <w:rFonts w:ascii="Times New Roman" w:hAnsi="Times New Roman"/>
                <w:sz w:val="24"/>
              </w:rPr>
              <w:t>Tại khoản 1 Điều 57 dự thảo quy định: “Tàu biển Việt Nam là tàu biển, đã được đăng ký vào Sổ đăng ký tàu biển quốc gia Việt Nam hoặc đã được cơ quan có thẩm quyền của Việt Nam cấp giấy phép tạm thời mang cờ quốc tịch Việt Nam Tàu biển Việt Nam có quyền và nghĩa vụ mang cờ quốc tịch Việt Nam”. Đề nghị bổ sung dấu chấm (.) sau cụm “...mang cờ quốc tịch Việt Nam” để tách biệt rõ hai nội dung, bảo đảm câu văn mạch lạc, dễ hiểu và đúng kỹ thuật trình bày văn bản quy phạm pháp luật. Cụ thể, như sau: “Tàu biển Việt Nam là tàu biển, đã được đăng ký vào Sổ đăng ký tàu biển quốc gia Việt Nam hoặc đã được cơ quan có thẩm quyền của Việt Nam cấp giấy phép tạm thời mang cờ quốc tịch Việt Nam. Tàu biển Việt Nam có quyền và nghĩa vụ mang cờ quốc tịch Việt Nam”.</w:t>
            </w:r>
          </w:p>
        </w:tc>
        <w:tc>
          <w:tcPr>
            <w:tcW w:w="2793" w:type="dxa"/>
            <w:vAlign w:val="center"/>
          </w:tcPr>
          <w:p w14:paraId="3C4A6CCC" w14:textId="2DA64656" w:rsidR="005E54B6" w:rsidRPr="000F1EC3" w:rsidRDefault="00E113B0" w:rsidP="005E54B6">
            <w:pPr>
              <w:spacing w:before="20" w:after="20"/>
              <w:jc w:val="both"/>
              <w:rPr>
                <w:rFonts w:ascii="Times New Roman" w:hAnsi="Times New Roman"/>
                <w:sz w:val="24"/>
              </w:rPr>
            </w:pPr>
            <w:r w:rsidRPr="000F1EC3">
              <w:rPr>
                <w:rFonts w:ascii="Times New Roman" w:hAnsi="Times New Roman"/>
                <w:sz w:val="24"/>
              </w:rPr>
              <w:t>Nội dung này đã được nghiên cứu, biên tập lại tại khoản 1 Điều 26 dự thảo như sau: "Tàu biển là tàu thuyền được đăng ký chuyên hoạt động trên biển." nhằm đảm bảo tính kế thừa, phù hợp với thực tiễn và thống nhất quy định.</w:t>
            </w:r>
          </w:p>
        </w:tc>
      </w:tr>
      <w:tr w:rsidR="00137B24" w:rsidRPr="000F1EC3" w14:paraId="7E26B913" w14:textId="77777777" w:rsidTr="001B580E">
        <w:trPr>
          <w:gridAfter w:val="1"/>
          <w:wAfter w:w="8" w:type="dxa"/>
        </w:trPr>
        <w:tc>
          <w:tcPr>
            <w:tcW w:w="914" w:type="dxa"/>
            <w:vAlign w:val="center"/>
          </w:tcPr>
          <w:p w14:paraId="49E9B118"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253BB931"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Chương III</w:t>
            </w:r>
          </w:p>
        </w:tc>
        <w:tc>
          <w:tcPr>
            <w:tcW w:w="1620" w:type="dxa"/>
            <w:vAlign w:val="center"/>
          </w:tcPr>
          <w:p w14:paraId="7F3C4D9C"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Trường ĐHGTVT TP HCM (văn bản số 260511-02/CV-UTH-MLP ngày 11/5/2026)</w:t>
            </w:r>
          </w:p>
        </w:tc>
        <w:tc>
          <w:tcPr>
            <w:tcW w:w="8872" w:type="dxa"/>
            <w:vAlign w:val="center"/>
          </w:tcPr>
          <w:p w14:paraId="477A5E72"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Dự thảo hiện chưa có quy định riêng đối với tàu sử dụng nhiên liệu thay thế và phương tiện thủy ứng dụng công nghệ tự động hóa. Trong bối cảnh IMO đang thúc đẩy lộ trình giảm phát thải khí nhà kính và chuyển đổi năng lượng xanh trong vận tải biển, việc bố sung quy định này là cần thiết nhằm tạo cơ sở pháp lý cho hoạt động đăng kiểm, bảo hiểm, khai thác và quản lý an toàn kỹ thuật đối với các loại tàu công nghệ mới. Do đó cần bổ sung 01 điều mới trong Chương về tàu thuyền và đăng kiểm với nội dung như sau: Điều [số thứ tự của Điều tại đây]: Kiểm định, chứng nhận kỹ thuật đối với tàu sử dụng nhiên liệu thay thế và phương tiện thủy ứng dụng công nghệ tự động hóa Tàu biển, phương tiện thủy sử dụng nhiên liệu thay thế bao gồm LNG, hydrogen, ammonia, methanol và các nhiên liệu phát thải thấp khác phải được kiểm định, phân cấp và cấp chứng nhận kỹ thuật phù hợp với quy chuẩn kỹ thuật quốc gia, điều ước quốc tế và tiêu chuẩn của tổ chức đăng kiểm được công nhận. Phương tiện thủy ứng dụng công nghệ tự động hóa, điều khiển từ xa hoặc trí tuệ nhân tạo trong khai thác, vận hành phải đáp ứng yêu cầu về an toàn kỹ thuật, an ninh mạng và bảo vệ môi trường theo quy định của Chính phủ. Chính phủ quy định chi tiết điều này."</w:t>
            </w:r>
          </w:p>
        </w:tc>
        <w:tc>
          <w:tcPr>
            <w:tcW w:w="2793" w:type="dxa"/>
            <w:vAlign w:val="center"/>
          </w:tcPr>
          <w:p w14:paraId="3C861029" w14:textId="3732502F" w:rsidR="00137B24" w:rsidRPr="000F1EC3" w:rsidRDefault="00137B24" w:rsidP="00137B24">
            <w:pPr>
              <w:spacing w:before="20" w:after="20"/>
              <w:jc w:val="both"/>
              <w:rPr>
                <w:rFonts w:ascii="Times New Roman" w:hAnsi="Times New Roman"/>
                <w:sz w:val="24"/>
              </w:rPr>
            </w:pPr>
            <w:r w:rsidRPr="000F1EC3">
              <w:rPr>
                <w:rFonts w:ascii="Times New Roman" w:hAnsi="Times New Roman"/>
                <w:bCs/>
                <w:sz w:val="24"/>
              </w:rPr>
              <w:t xml:space="preserve">Trong bối cảnh Tổ chức Hàng hải Quốc tế thúc </w:t>
            </w:r>
            <w:r w:rsidRPr="000F1EC3">
              <w:rPr>
                <w:rFonts w:ascii="Times New Roman" w:hAnsi="Times New Roman" w:hint="eastAsia"/>
                <w:bCs/>
                <w:sz w:val="24"/>
              </w:rPr>
              <w:t>đ</w:t>
            </w:r>
            <w:r w:rsidRPr="000F1EC3">
              <w:rPr>
                <w:rFonts w:ascii="Times New Roman" w:hAnsi="Times New Roman"/>
                <w:bCs/>
                <w:sz w:val="24"/>
              </w:rPr>
              <w:t xml:space="preserve">ẩy chuyển </w:t>
            </w:r>
            <w:r w:rsidRPr="000F1EC3">
              <w:rPr>
                <w:rFonts w:ascii="Times New Roman" w:hAnsi="Times New Roman" w:hint="eastAsia"/>
                <w:bCs/>
                <w:sz w:val="24"/>
              </w:rPr>
              <w:t>đ</w:t>
            </w:r>
            <w:r w:rsidRPr="000F1EC3">
              <w:rPr>
                <w:rFonts w:ascii="Times New Roman" w:hAnsi="Times New Roman"/>
                <w:bCs/>
                <w:sz w:val="24"/>
              </w:rPr>
              <w:t>ổi n</w:t>
            </w:r>
            <w:r w:rsidRPr="000F1EC3">
              <w:rPr>
                <w:rFonts w:ascii="Times New Roman" w:hAnsi="Times New Roman" w:hint="eastAsia"/>
                <w:bCs/>
                <w:sz w:val="24"/>
              </w:rPr>
              <w:t>ă</w:t>
            </w:r>
            <w:r w:rsidRPr="000F1EC3">
              <w:rPr>
                <w:rFonts w:ascii="Times New Roman" w:hAnsi="Times New Roman"/>
                <w:bCs/>
                <w:sz w:val="24"/>
              </w:rPr>
              <w:t>ng l</w:t>
            </w:r>
            <w:r w:rsidRPr="000F1EC3">
              <w:rPr>
                <w:rFonts w:ascii="Times New Roman" w:hAnsi="Times New Roman" w:hint="eastAsia"/>
                <w:bCs/>
                <w:sz w:val="24"/>
              </w:rPr>
              <w:t>ư</w:t>
            </w:r>
            <w:r w:rsidRPr="000F1EC3">
              <w:rPr>
                <w:rFonts w:ascii="Times New Roman" w:hAnsi="Times New Roman"/>
                <w:bCs/>
                <w:sz w:val="24"/>
              </w:rPr>
              <w:t xml:space="preserve">ợng xanh và xuất hiện nhiều công nghệ tàu mới, việc bổ sung quy </w:t>
            </w:r>
            <w:r w:rsidRPr="000F1EC3">
              <w:rPr>
                <w:rFonts w:ascii="Times New Roman" w:hAnsi="Times New Roman" w:hint="eastAsia"/>
                <w:bCs/>
                <w:sz w:val="24"/>
              </w:rPr>
              <w:t>đ</w:t>
            </w:r>
            <w:r w:rsidRPr="000F1EC3">
              <w:rPr>
                <w:rFonts w:ascii="Times New Roman" w:hAnsi="Times New Roman"/>
                <w:bCs/>
                <w:sz w:val="24"/>
              </w:rPr>
              <w:t xml:space="preserve">ịnh là cần thiết. Tuy nhiên, do các tiêu chuẩn kỹ thuật và loại hình công nghệ thay </w:t>
            </w:r>
            <w:r w:rsidRPr="000F1EC3">
              <w:rPr>
                <w:rFonts w:ascii="Times New Roman" w:hAnsi="Times New Roman" w:hint="eastAsia"/>
                <w:bCs/>
                <w:sz w:val="24"/>
              </w:rPr>
              <w:t>đ</w:t>
            </w:r>
            <w:r w:rsidRPr="000F1EC3">
              <w:rPr>
                <w:rFonts w:ascii="Times New Roman" w:hAnsi="Times New Roman"/>
                <w:bCs/>
                <w:sz w:val="24"/>
              </w:rPr>
              <w:t xml:space="preserve">ổi nhanh, dự thảo chỉ quy </w:t>
            </w:r>
            <w:r w:rsidRPr="000F1EC3">
              <w:rPr>
                <w:rFonts w:ascii="Times New Roman" w:hAnsi="Times New Roman" w:hint="eastAsia"/>
                <w:bCs/>
                <w:sz w:val="24"/>
              </w:rPr>
              <w:t>đ</w:t>
            </w:r>
            <w:r w:rsidRPr="000F1EC3">
              <w:rPr>
                <w:rFonts w:ascii="Times New Roman" w:hAnsi="Times New Roman"/>
                <w:bCs/>
                <w:sz w:val="24"/>
              </w:rPr>
              <w:t xml:space="preserve">ịnh ở mức nguyên tắc, mang tính khung </w:t>
            </w:r>
            <w:r w:rsidRPr="000F1EC3">
              <w:rPr>
                <w:rFonts w:ascii="Times New Roman" w:hAnsi="Times New Roman" w:hint="eastAsia"/>
                <w:bCs/>
                <w:sz w:val="24"/>
              </w:rPr>
              <w:t>đ</w:t>
            </w:r>
            <w:r w:rsidRPr="000F1EC3">
              <w:rPr>
                <w:rFonts w:ascii="Times New Roman" w:hAnsi="Times New Roman"/>
                <w:bCs/>
                <w:sz w:val="24"/>
              </w:rPr>
              <w:t xml:space="preserve">ể bảo </w:t>
            </w:r>
            <w:r w:rsidRPr="000F1EC3">
              <w:rPr>
                <w:rFonts w:ascii="Times New Roman" w:hAnsi="Times New Roman" w:hint="eastAsia"/>
                <w:bCs/>
                <w:sz w:val="24"/>
              </w:rPr>
              <w:t>đ</w:t>
            </w:r>
            <w:r w:rsidRPr="000F1EC3">
              <w:rPr>
                <w:rFonts w:ascii="Times New Roman" w:hAnsi="Times New Roman"/>
                <w:bCs/>
                <w:sz w:val="24"/>
              </w:rPr>
              <w:t xml:space="preserve">ảm tính ổn </w:t>
            </w:r>
            <w:r w:rsidRPr="000F1EC3">
              <w:rPr>
                <w:rFonts w:ascii="Times New Roman" w:hAnsi="Times New Roman" w:hint="eastAsia"/>
                <w:bCs/>
                <w:sz w:val="24"/>
              </w:rPr>
              <w:t>đ</w:t>
            </w:r>
            <w:r w:rsidRPr="000F1EC3">
              <w:rPr>
                <w:rFonts w:ascii="Times New Roman" w:hAnsi="Times New Roman"/>
                <w:bCs/>
                <w:sz w:val="24"/>
              </w:rPr>
              <w:t xml:space="preserve">ịnh của luật. Các nội dung cụ thể sẽ giao Chính phủ quy </w:t>
            </w:r>
            <w:r w:rsidRPr="000F1EC3">
              <w:rPr>
                <w:rFonts w:ascii="Times New Roman" w:hAnsi="Times New Roman" w:hint="eastAsia"/>
                <w:bCs/>
                <w:sz w:val="24"/>
              </w:rPr>
              <w:t>đ</w:t>
            </w:r>
            <w:r w:rsidRPr="000F1EC3">
              <w:rPr>
                <w:rFonts w:ascii="Times New Roman" w:hAnsi="Times New Roman"/>
                <w:bCs/>
                <w:sz w:val="24"/>
              </w:rPr>
              <w:t xml:space="preserve">ịnh chi tiết, bảo </w:t>
            </w:r>
            <w:r w:rsidRPr="000F1EC3">
              <w:rPr>
                <w:rFonts w:ascii="Times New Roman" w:hAnsi="Times New Roman" w:hint="eastAsia"/>
                <w:bCs/>
                <w:sz w:val="24"/>
              </w:rPr>
              <w:t>đ</w:t>
            </w:r>
            <w:r w:rsidRPr="000F1EC3">
              <w:rPr>
                <w:rFonts w:ascii="Times New Roman" w:hAnsi="Times New Roman"/>
                <w:bCs/>
                <w:sz w:val="24"/>
              </w:rPr>
              <w:t>ảm linh hoạt, kịp thời cập nhật theo thực tiễn và thông lệ quốc tế.</w:t>
            </w:r>
          </w:p>
        </w:tc>
      </w:tr>
      <w:tr w:rsidR="00137B24" w:rsidRPr="000F1EC3" w14:paraId="5175E356" w14:textId="77777777" w:rsidTr="001B580E">
        <w:trPr>
          <w:gridAfter w:val="1"/>
          <w:wAfter w:w="8" w:type="dxa"/>
        </w:trPr>
        <w:tc>
          <w:tcPr>
            <w:tcW w:w="914" w:type="dxa"/>
            <w:vAlign w:val="center"/>
          </w:tcPr>
          <w:p w14:paraId="2E971958"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75B42027"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61</w:t>
            </w:r>
          </w:p>
        </w:tc>
        <w:tc>
          <w:tcPr>
            <w:tcW w:w="1620" w:type="dxa"/>
            <w:vAlign w:val="center"/>
          </w:tcPr>
          <w:p w14:paraId="1A427A8C"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Sở Xây dựng Khánh Hòa (văn bản số 4773/SXD-</w:t>
            </w:r>
            <w:r w:rsidRPr="000F1EC3">
              <w:rPr>
                <w:rFonts w:ascii="Times New Roman" w:hAnsi="Times New Roman"/>
                <w:b/>
                <w:bCs/>
                <w:sz w:val="24"/>
              </w:rPr>
              <w:lastRenderedPageBreak/>
              <w:t>QLVT ngày 11/5/2026)</w:t>
            </w:r>
          </w:p>
        </w:tc>
        <w:tc>
          <w:tcPr>
            <w:tcW w:w="8872" w:type="dxa"/>
            <w:vAlign w:val="center"/>
          </w:tcPr>
          <w:p w14:paraId="03640270"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Tại khoản 1 Điều 61: để thống nhất với tên gọi của Điều này và chặt chẽ với quy định tại Điều 57, đề nghị cơ quan soạn thảo điều chỉnh thành: “1. Tàu biển Việt Nam đăng ký mang cờ quốc tịch và đăng ký sở hữu tại Sổ đăng ký tàu biển quốc gia….”</w:t>
            </w:r>
          </w:p>
        </w:tc>
        <w:tc>
          <w:tcPr>
            <w:tcW w:w="2793" w:type="dxa"/>
            <w:vAlign w:val="center"/>
          </w:tcPr>
          <w:p w14:paraId="2EBE314B" w14:textId="0D6B8DDE"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Cs/>
                <w:sz w:val="24"/>
              </w:rPr>
              <w:t xml:space="preserve">Quy </w:t>
            </w:r>
            <w:r w:rsidRPr="000F1EC3">
              <w:rPr>
                <w:rFonts w:ascii="Times New Roman" w:hAnsi="Times New Roman" w:hint="eastAsia"/>
                <w:bCs/>
                <w:sz w:val="24"/>
              </w:rPr>
              <w:t>đ</w:t>
            </w:r>
            <w:r w:rsidRPr="000F1EC3">
              <w:rPr>
                <w:rFonts w:ascii="Times New Roman" w:hAnsi="Times New Roman"/>
                <w:bCs/>
                <w:sz w:val="24"/>
              </w:rPr>
              <w:t xml:space="preserve">ịnh tại dự thảo </w:t>
            </w:r>
            <w:r w:rsidRPr="000F1EC3">
              <w:rPr>
                <w:rFonts w:ascii="Times New Roman" w:hAnsi="Times New Roman" w:hint="eastAsia"/>
                <w:bCs/>
                <w:sz w:val="24"/>
              </w:rPr>
              <w:t>đã</w:t>
            </w:r>
            <w:r w:rsidRPr="000F1EC3">
              <w:rPr>
                <w:rFonts w:ascii="Times New Roman" w:hAnsi="Times New Roman"/>
                <w:bCs/>
                <w:sz w:val="24"/>
              </w:rPr>
              <w:t xml:space="preserve"> thể hiện </w:t>
            </w:r>
            <w:r w:rsidRPr="000F1EC3">
              <w:rPr>
                <w:rFonts w:ascii="Times New Roman" w:hAnsi="Times New Roman" w:hint="eastAsia"/>
                <w:bCs/>
                <w:sz w:val="24"/>
              </w:rPr>
              <w:t>đ</w:t>
            </w:r>
            <w:r w:rsidRPr="000F1EC3">
              <w:rPr>
                <w:rFonts w:ascii="Times New Roman" w:hAnsi="Times New Roman"/>
                <w:bCs/>
                <w:sz w:val="24"/>
              </w:rPr>
              <w:t xml:space="preserve">ầy </w:t>
            </w:r>
            <w:r w:rsidRPr="000F1EC3">
              <w:rPr>
                <w:rFonts w:ascii="Times New Roman" w:hAnsi="Times New Roman" w:hint="eastAsia"/>
                <w:bCs/>
                <w:sz w:val="24"/>
              </w:rPr>
              <w:t>đ</w:t>
            </w:r>
            <w:r w:rsidRPr="000F1EC3">
              <w:rPr>
                <w:rFonts w:ascii="Times New Roman" w:hAnsi="Times New Roman"/>
                <w:bCs/>
                <w:sz w:val="24"/>
              </w:rPr>
              <w:t xml:space="preserve">ủ nội dung về </w:t>
            </w:r>
            <w:r w:rsidRPr="000F1EC3">
              <w:rPr>
                <w:rFonts w:ascii="Times New Roman" w:hAnsi="Times New Roman" w:hint="eastAsia"/>
                <w:bCs/>
                <w:sz w:val="24"/>
              </w:rPr>
              <w:t>đă</w:t>
            </w:r>
            <w:r w:rsidRPr="000F1EC3">
              <w:rPr>
                <w:rFonts w:ascii="Times New Roman" w:hAnsi="Times New Roman"/>
                <w:bCs/>
                <w:sz w:val="24"/>
              </w:rPr>
              <w:t xml:space="preserve">ng ký tàu biển Việt Nam, bao gồm cả yếu tố </w:t>
            </w:r>
            <w:r w:rsidRPr="000F1EC3">
              <w:rPr>
                <w:rFonts w:ascii="Times New Roman" w:hAnsi="Times New Roman"/>
                <w:bCs/>
                <w:sz w:val="24"/>
              </w:rPr>
              <w:lastRenderedPageBreak/>
              <w:t xml:space="preserve">quốc tịch (treo cờ) và </w:t>
            </w:r>
            <w:r w:rsidRPr="000F1EC3">
              <w:rPr>
                <w:rFonts w:ascii="Times New Roman" w:hAnsi="Times New Roman" w:hint="eastAsia"/>
                <w:bCs/>
                <w:sz w:val="24"/>
              </w:rPr>
              <w:t>đă</w:t>
            </w:r>
            <w:r w:rsidRPr="000F1EC3">
              <w:rPr>
                <w:rFonts w:ascii="Times New Roman" w:hAnsi="Times New Roman"/>
                <w:bCs/>
                <w:sz w:val="24"/>
              </w:rPr>
              <w:t xml:space="preserve">ng ký sở hữu thông qua việc dẫn chiếu và bảo </w:t>
            </w:r>
            <w:r w:rsidRPr="000F1EC3">
              <w:rPr>
                <w:rFonts w:ascii="Times New Roman" w:hAnsi="Times New Roman" w:hint="eastAsia"/>
                <w:bCs/>
                <w:sz w:val="24"/>
              </w:rPr>
              <w:t>đ</w:t>
            </w:r>
            <w:r w:rsidRPr="000F1EC3">
              <w:rPr>
                <w:rFonts w:ascii="Times New Roman" w:hAnsi="Times New Roman"/>
                <w:bCs/>
                <w:sz w:val="24"/>
              </w:rPr>
              <w:t xml:space="preserve">ảm thống nhất với quy </w:t>
            </w:r>
            <w:r w:rsidRPr="000F1EC3">
              <w:rPr>
                <w:rFonts w:ascii="Times New Roman" w:hAnsi="Times New Roman" w:hint="eastAsia"/>
                <w:bCs/>
                <w:sz w:val="24"/>
              </w:rPr>
              <w:t>đ</w:t>
            </w:r>
            <w:r w:rsidRPr="000F1EC3">
              <w:rPr>
                <w:rFonts w:ascii="Times New Roman" w:hAnsi="Times New Roman"/>
                <w:bCs/>
                <w:sz w:val="24"/>
              </w:rPr>
              <w:t xml:space="preserve">ịnh tại </w:t>
            </w:r>
            <w:r w:rsidRPr="000F1EC3">
              <w:rPr>
                <w:rFonts w:ascii="Times New Roman" w:hAnsi="Times New Roman" w:hint="eastAsia"/>
                <w:bCs/>
                <w:sz w:val="24"/>
              </w:rPr>
              <w:t>Đ</w:t>
            </w:r>
            <w:r w:rsidRPr="000F1EC3">
              <w:rPr>
                <w:rFonts w:ascii="Times New Roman" w:hAnsi="Times New Roman"/>
                <w:bCs/>
                <w:sz w:val="24"/>
              </w:rPr>
              <w:t xml:space="preserve">iều 57. Do </w:t>
            </w:r>
            <w:r w:rsidRPr="000F1EC3">
              <w:rPr>
                <w:rFonts w:ascii="Times New Roman" w:hAnsi="Times New Roman" w:hint="eastAsia"/>
                <w:bCs/>
                <w:sz w:val="24"/>
              </w:rPr>
              <w:t>đó</w:t>
            </w:r>
            <w:r w:rsidRPr="000F1EC3">
              <w:rPr>
                <w:rFonts w:ascii="Times New Roman" w:hAnsi="Times New Roman"/>
                <w:bCs/>
                <w:sz w:val="24"/>
              </w:rPr>
              <w:t>, việc bổ sung lại cụm từ “</w:t>
            </w:r>
            <w:r w:rsidRPr="000F1EC3">
              <w:rPr>
                <w:rFonts w:ascii="Times New Roman" w:hAnsi="Times New Roman" w:hint="eastAsia"/>
                <w:bCs/>
                <w:sz w:val="24"/>
              </w:rPr>
              <w:t>đă</w:t>
            </w:r>
            <w:r w:rsidRPr="000F1EC3">
              <w:rPr>
                <w:rFonts w:ascii="Times New Roman" w:hAnsi="Times New Roman"/>
                <w:bCs/>
                <w:sz w:val="24"/>
              </w:rPr>
              <w:t xml:space="preserve">ng ký mang cờ quốc tịch và </w:t>
            </w:r>
            <w:r w:rsidRPr="000F1EC3">
              <w:rPr>
                <w:rFonts w:ascii="Times New Roman" w:hAnsi="Times New Roman" w:hint="eastAsia"/>
                <w:bCs/>
                <w:sz w:val="24"/>
              </w:rPr>
              <w:t>đă</w:t>
            </w:r>
            <w:r w:rsidRPr="000F1EC3">
              <w:rPr>
                <w:rFonts w:ascii="Times New Roman" w:hAnsi="Times New Roman"/>
                <w:bCs/>
                <w:sz w:val="24"/>
              </w:rPr>
              <w:t>ng ký sở hữu” là không cần thiết, có thể gây trùng lặp về nội dung.</w:t>
            </w:r>
          </w:p>
        </w:tc>
      </w:tr>
      <w:tr w:rsidR="00137B24" w:rsidRPr="000F1EC3" w14:paraId="22498CCC" w14:textId="77777777" w:rsidTr="001B580E">
        <w:trPr>
          <w:gridAfter w:val="1"/>
          <w:wAfter w:w="8" w:type="dxa"/>
        </w:trPr>
        <w:tc>
          <w:tcPr>
            <w:tcW w:w="914" w:type="dxa"/>
            <w:vAlign w:val="center"/>
          </w:tcPr>
          <w:p w14:paraId="329F32F5"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2072BD3E"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6CD2BE00"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6BCFF4F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Khoản 2 Điều 57, khoản 2 Điều 61, điểm a khoản 3 Điều 62: Cân nhắc các cụm từ “đăng ký hành chính” , “đăng ký quản lý hành chính” để bảo đảm rõ nghĩa.</w:t>
            </w:r>
          </w:p>
        </w:tc>
        <w:tc>
          <w:tcPr>
            <w:tcW w:w="2793" w:type="dxa"/>
            <w:vAlign w:val="center"/>
          </w:tcPr>
          <w:p w14:paraId="23F5A862" w14:textId="476A152F"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rà soát, đảm bảo sử dụng thống nhất cụm từ "đăng ký hành chính".</w:t>
            </w:r>
          </w:p>
        </w:tc>
      </w:tr>
      <w:tr w:rsidR="00137B24" w:rsidRPr="000F1EC3" w14:paraId="1B28D2E9" w14:textId="77777777" w:rsidTr="001B580E">
        <w:trPr>
          <w:gridAfter w:val="1"/>
          <w:wAfter w:w="8" w:type="dxa"/>
        </w:trPr>
        <w:tc>
          <w:tcPr>
            <w:tcW w:w="914" w:type="dxa"/>
            <w:vAlign w:val="center"/>
          </w:tcPr>
          <w:p w14:paraId="7AAB35BD"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15398661"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62</w:t>
            </w:r>
          </w:p>
        </w:tc>
        <w:tc>
          <w:tcPr>
            <w:tcW w:w="1620" w:type="dxa"/>
            <w:vAlign w:val="center"/>
          </w:tcPr>
          <w:p w14:paraId="5AE4EE4F"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Sở Xây dựng Hưng Yên (văn bản số 2188/SXD-QLKCHT ngày 12/5/2026)</w:t>
            </w:r>
          </w:p>
        </w:tc>
        <w:tc>
          <w:tcPr>
            <w:tcW w:w="8872" w:type="dxa"/>
            <w:vAlign w:val="center"/>
          </w:tcPr>
          <w:p w14:paraId="1B9739F2"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Tại Điểm b Khoản 3 Điều 62. Nguyên tắc đăng ký tàu biển, tàu sông đề nghị xem xét bổ sung trường hợp đăng ký lại do mất, hỏng; cụ thể: b) Tàu sông phải được đăng ký lại trong các trường hợp: chuyển quyền sở hữu; thay đổi tên, tính năng kỹ thuật; trụ sở hoặc nơi đăng ký thường trú của chủ phương tiện chuyển sang đơn vị hành chính cấp tỉnh khác; chuyển đăng ký từ cơ quan đăng ký khác sang cơ quan đăng ký tàu sông; báo mất, hỏng.</w:t>
            </w:r>
          </w:p>
        </w:tc>
        <w:tc>
          <w:tcPr>
            <w:tcW w:w="2793" w:type="dxa"/>
            <w:vAlign w:val="center"/>
          </w:tcPr>
          <w:p w14:paraId="1396CC50" w14:textId="13EC291B"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Nội dung này mang tính quy định chi tiết, dự kiến được tổng hợp, nghiên cứu trong quá trình xây dựng văn bản hướng dẫn thực hiện.</w:t>
            </w:r>
          </w:p>
        </w:tc>
      </w:tr>
      <w:tr w:rsidR="00137B24" w:rsidRPr="000F1EC3" w14:paraId="1294EEDB" w14:textId="77777777" w:rsidTr="001B580E">
        <w:trPr>
          <w:gridAfter w:val="1"/>
          <w:wAfter w:w="8" w:type="dxa"/>
        </w:trPr>
        <w:tc>
          <w:tcPr>
            <w:tcW w:w="914" w:type="dxa"/>
            <w:vAlign w:val="center"/>
          </w:tcPr>
          <w:p w14:paraId="082FF0D1"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32362FEF"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63D9AB87"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309653B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Khoản 2 Điều 57, khoản 2 Điều 61, điểm a khoản 3 Điều 62: Cân nhắc các cụm từ “đăng ký hành chính” , “đăng ký quản lý hành chính” để bảo đảm rõ nghĩa.</w:t>
            </w:r>
          </w:p>
        </w:tc>
        <w:tc>
          <w:tcPr>
            <w:tcW w:w="2793" w:type="dxa"/>
            <w:vAlign w:val="center"/>
          </w:tcPr>
          <w:p w14:paraId="1216DFD0" w14:textId="33FA478C"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rà soát, đảm bảo sử dụng thống nhất cụm từ "đăng ký hành chính".</w:t>
            </w:r>
          </w:p>
        </w:tc>
      </w:tr>
      <w:tr w:rsidR="00137B24" w:rsidRPr="000F1EC3" w14:paraId="548B3C4A" w14:textId="77777777" w:rsidTr="001B580E">
        <w:trPr>
          <w:gridAfter w:val="1"/>
          <w:wAfter w:w="8" w:type="dxa"/>
        </w:trPr>
        <w:tc>
          <w:tcPr>
            <w:tcW w:w="914" w:type="dxa"/>
            <w:vAlign w:val="center"/>
          </w:tcPr>
          <w:p w14:paraId="769BF530"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581A2407"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65</w:t>
            </w:r>
          </w:p>
        </w:tc>
        <w:tc>
          <w:tcPr>
            <w:tcW w:w="1620" w:type="dxa"/>
            <w:vAlign w:val="center"/>
          </w:tcPr>
          <w:p w14:paraId="7DE50877"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 xml:space="preserve">Hiệp hội Cảng biển Việt Nam </w:t>
            </w:r>
            <w:r w:rsidRPr="000F1EC3">
              <w:rPr>
                <w:rFonts w:ascii="Times New Roman" w:hAnsi="Times New Roman"/>
                <w:b/>
                <w:bCs/>
                <w:sz w:val="24"/>
              </w:rPr>
              <w:lastRenderedPageBreak/>
              <w:t>(văn bản số 84/VPA-BC ngày 11/5/2026)</w:t>
            </w:r>
          </w:p>
        </w:tc>
        <w:tc>
          <w:tcPr>
            <w:tcW w:w="8872" w:type="dxa"/>
            <w:vAlign w:val="center"/>
          </w:tcPr>
          <w:p w14:paraId="5682BAF6"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 xml:space="preserve">Điều 65–72: Các điều về đầu tư và khai thác cảng biển: </w:t>
            </w:r>
          </w:p>
          <w:p w14:paraId="704B416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 xml:space="preserve">Đề xuất: Đề nghị bảo đảm thống nhất với Luật Đấu thầu 2023, Luật Đầu tư, Luật PPP; quy định rõ các trường hợp đấu thầu, chấp thuận nhà đầu tư, giao/cho thuê khai thác hạ tầng hiện hữu. </w:t>
            </w:r>
          </w:p>
          <w:p w14:paraId="12195561"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Diễn giải: Dự thảo có quy định lựa chọn nhà đầu tư cảng biển, cảng thủy nội địa theo pháp luật đầu tư, đấu thầu và Bộ luật này. Luật Đấu thầu 2023 có hiệu lực từ 01/01/2024, được định hướng tháo gỡ điểm nghẽn, nâng cao quyền tự chủ, tự chịu trách nhiệm trong lựa chọn nhà thầu/nhà đầu tư.</w:t>
            </w:r>
          </w:p>
        </w:tc>
        <w:tc>
          <w:tcPr>
            <w:tcW w:w="2793" w:type="dxa"/>
            <w:vAlign w:val="center"/>
          </w:tcPr>
          <w:p w14:paraId="297D042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 xml:space="preserve">Nội dung này được nghiên cứu, tiếp thu và điều chỉnh </w:t>
            </w:r>
            <w:r w:rsidRPr="000F1EC3">
              <w:rPr>
                <w:rFonts w:ascii="Times New Roman" w:hAnsi="Times New Roman"/>
                <w:sz w:val="24"/>
              </w:rPr>
              <w:lastRenderedPageBreak/>
              <w:t>tại khoản 2 Điều 17 như sau:</w:t>
            </w:r>
          </w:p>
          <w:p w14:paraId="23152BF7" w14:textId="7E445BBF"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"2. Các dự án cảng biển, cảng thuỷ nội địa phải áp dụng tiêu chí lựa chọn nhà đầu tư tổng thể theo quy định của Chính phủ, bao gồm:</w:t>
            </w:r>
          </w:p>
          <w:p w14:paraId="5903C13B" w14:textId="3C159580"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a) Dự án đầu tư tổng thể bến cảng mới thuộc cảng biển loại đặc biệt;</w:t>
            </w:r>
          </w:p>
          <w:p w14:paraId="70ED2401" w14:textId="2E9A81A4"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b) Dự án đầu tư cảng thủy nội địa đầu mối khu vực.".</w:t>
            </w:r>
          </w:p>
        </w:tc>
      </w:tr>
      <w:tr w:rsidR="00137B24" w:rsidRPr="000F1EC3" w14:paraId="75580C9D" w14:textId="77777777" w:rsidTr="001B580E">
        <w:trPr>
          <w:gridAfter w:val="1"/>
          <w:wAfter w:w="8" w:type="dxa"/>
        </w:trPr>
        <w:tc>
          <w:tcPr>
            <w:tcW w:w="914" w:type="dxa"/>
            <w:vAlign w:val="center"/>
          </w:tcPr>
          <w:p w14:paraId="7C94BB85"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70EAD8F2"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70</w:t>
            </w:r>
          </w:p>
        </w:tc>
        <w:tc>
          <w:tcPr>
            <w:tcW w:w="1620" w:type="dxa"/>
            <w:vAlign w:val="center"/>
          </w:tcPr>
          <w:p w14:paraId="7C91B106"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Bộ Công Thương (văn bản số 3357/BCT-PC ngày 13/5/2026)</w:t>
            </w:r>
          </w:p>
        </w:tc>
        <w:tc>
          <w:tcPr>
            <w:tcW w:w="8872" w:type="dxa"/>
            <w:vAlign w:val="center"/>
          </w:tcPr>
          <w:p w14:paraId="7C412FC8"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bổ sung, làm rõ quy định về đăng kiểm công trình năng lượng tái tạo ngoài khơi tại Điều 70, cụ thể:</w:t>
            </w:r>
          </w:p>
          <w:p w14:paraId="6C840725"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 Đối tượng, phạm vi công trình năng lượng tái tạo ngoài khơi: Khoản 12 Điều 4 dự thảo Bộ luật quy định về đối tượng công trình năng lượng tái tạo trên biển, nhưng chưa có quy định về công trình năng lượng tái tạo ngoài khơi. Do đó, để bảo đảm sự thống nhất giữa hai đối tượng này, đề nghị bổ sung, làm rõ đối tượng, phạm vi công trình năng lượng tái tạo ngoài khơi. </w:t>
            </w:r>
          </w:p>
          <w:p w14:paraId="6BD30E8E" w14:textId="786C4445"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Về nội dung đăng kiểm: Đề nghị cân nhắc việc quy định kiểm định, chứng nhận về phòng ngừa ô nhiễm môi trường để tránh chồng chéo với quy định pháp luật về bảo vệ môi trường và tránh phát sinh thủ tục hành chính, chi phí tuân thủ không cần thiết.</w:t>
            </w:r>
          </w:p>
        </w:tc>
        <w:tc>
          <w:tcPr>
            <w:tcW w:w="2793" w:type="dxa"/>
            <w:vAlign w:val="center"/>
          </w:tcPr>
          <w:p w14:paraId="1AE24404" w14:textId="733188C6"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Tiếp thu, nội dung này đã được rà soát, điều chỉnh tại các khoản 8 Điều 4; Điều 35, Điều 37 dự thảo. </w:t>
            </w:r>
          </w:p>
        </w:tc>
      </w:tr>
      <w:tr w:rsidR="00137B24" w:rsidRPr="000F1EC3" w14:paraId="30461A1B" w14:textId="77777777" w:rsidTr="001B580E">
        <w:trPr>
          <w:gridAfter w:val="1"/>
          <w:wAfter w:w="8" w:type="dxa"/>
        </w:trPr>
        <w:tc>
          <w:tcPr>
            <w:tcW w:w="914" w:type="dxa"/>
            <w:vAlign w:val="center"/>
          </w:tcPr>
          <w:p w14:paraId="4DE8E7F5"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7B1784D5"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79</w:t>
            </w:r>
          </w:p>
        </w:tc>
        <w:tc>
          <w:tcPr>
            <w:tcW w:w="1620" w:type="dxa"/>
            <w:vAlign w:val="center"/>
          </w:tcPr>
          <w:p w14:paraId="504FCF9F"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sz w:val="24"/>
              </w:rPr>
              <w:t>Sở Xây dựng Điện Biên (văn bản số 2247/SXD-QLVT&amp;ATGT ngày 11/5/2026)</w:t>
            </w:r>
          </w:p>
        </w:tc>
        <w:tc>
          <w:tcPr>
            <w:tcW w:w="8872" w:type="dxa"/>
            <w:vAlign w:val="center"/>
          </w:tcPr>
          <w:p w14:paraId="20DCE480"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Nguyên tắc thế chấp tàu biển Việt Nam; đề nghị sửa như sau để quy định được rõ ràng, cụ thể “Bên nhận thế chấp chỉ giữ bản sao hợp lệ Giấy chứng nhận đăng ký tàu biển của tàu biển thế chấp”</w:t>
            </w:r>
          </w:p>
        </w:tc>
        <w:tc>
          <w:tcPr>
            <w:tcW w:w="2793" w:type="dxa"/>
            <w:vAlign w:val="center"/>
          </w:tcPr>
          <w:p w14:paraId="5536BEE4" w14:textId="0D95EB9A"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được kế thừa quy định của Bộ luật HHVN năm 2015, bảo đảm phù hợp với các điều ước quốc tế liên quan.</w:t>
            </w:r>
          </w:p>
        </w:tc>
      </w:tr>
      <w:tr w:rsidR="00137B24" w:rsidRPr="000F1EC3" w14:paraId="016E566B" w14:textId="77777777" w:rsidTr="001B580E">
        <w:trPr>
          <w:gridAfter w:val="1"/>
          <w:wAfter w:w="8" w:type="dxa"/>
        </w:trPr>
        <w:tc>
          <w:tcPr>
            <w:tcW w:w="914" w:type="dxa"/>
            <w:vAlign w:val="center"/>
          </w:tcPr>
          <w:p w14:paraId="0C643928"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7BF1619C"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82</w:t>
            </w:r>
          </w:p>
        </w:tc>
        <w:tc>
          <w:tcPr>
            <w:tcW w:w="1620" w:type="dxa"/>
            <w:vAlign w:val="center"/>
          </w:tcPr>
          <w:p w14:paraId="763A92B5"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Bộ Nội vụ (văn bản số 4525/BNV-</w:t>
            </w:r>
            <w:r w:rsidRPr="000F1EC3">
              <w:rPr>
                <w:rFonts w:ascii="Times New Roman" w:hAnsi="Times New Roman"/>
                <w:b/>
                <w:sz w:val="24"/>
              </w:rPr>
              <w:lastRenderedPageBreak/>
              <w:t>PC ngày 12/5/2025)</w:t>
            </w:r>
          </w:p>
        </w:tc>
        <w:tc>
          <w:tcPr>
            <w:tcW w:w="8872" w:type="dxa"/>
            <w:vAlign w:val="center"/>
          </w:tcPr>
          <w:p w14:paraId="401B1F7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đề nghị cơ quan chủ trì soạn thảo cân nhắc sửa cụm từ: “chi phí đóng góp bảo hiểm xã hội” thành cụm từ: “nghĩa vụ đóng bảo hiểm xã hội” cho phù hợp với quy định tại Luật Bảo hiểm xã hội số 41/2024/QH15</w:t>
            </w:r>
          </w:p>
        </w:tc>
        <w:tc>
          <w:tcPr>
            <w:tcW w:w="2793" w:type="dxa"/>
            <w:vAlign w:val="center"/>
          </w:tcPr>
          <w:p w14:paraId="6B92FFDB" w14:textId="7EADF8B9"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 tại khoản 1 Điều 44 dự thảo.</w:t>
            </w:r>
          </w:p>
        </w:tc>
      </w:tr>
      <w:tr w:rsidR="00137B24" w:rsidRPr="000F1EC3" w14:paraId="2777F9D9" w14:textId="77777777" w:rsidTr="001B580E">
        <w:trPr>
          <w:gridAfter w:val="1"/>
          <w:wAfter w:w="8" w:type="dxa"/>
        </w:trPr>
        <w:tc>
          <w:tcPr>
            <w:tcW w:w="914" w:type="dxa"/>
            <w:vAlign w:val="center"/>
          </w:tcPr>
          <w:p w14:paraId="00F6030B"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78DF6B00"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87</w:t>
            </w:r>
          </w:p>
        </w:tc>
        <w:tc>
          <w:tcPr>
            <w:tcW w:w="1620" w:type="dxa"/>
            <w:vAlign w:val="center"/>
          </w:tcPr>
          <w:p w14:paraId="2E18D892"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0A39240C"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4D288D04"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bổ sung quy định nghĩa vụ của thuyền trưởng và thuyền viên liên quan đến nhiệm vụ tìm kiếm, cứu hộ, cứu nạn</w:t>
            </w:r>
          </w:p>
        </w:tc>
        <w:tc>
          <w:tcPr>
            <w:tcW w:w="2793" w:type="dxa"/>
            <w:vAlign w:val="center"/>
          </w:tcPr>
          <w:p w14:paraId="27B6B62F" w14:textId="52E17F01" w:rsidR="00137B24" w:rsidRPr="000F1EC3" w:rsidRDefault="00137B24" w:rsidP="00137B24">
            <w:pPr>
              <w:spacing w:before="20" w:after="20"/>
              <w:jc w:val="both"/>
              <w:rPr>
                <w:rFonts w:ascii="Times New Roman" w:hAnsi="Times New Roman"/>
                <w:sz w:val="24"/>
              </w:rPr>
            </w:pPr>
            <w:r w:rsidRPr="000F1EC3">
              <w:rPr>
                <w:rFonts w:ascii="Times New Roman" w:hAnsi="Times New Roman"/>
                <w:bCs/>
                <w:sz w:val="24"/>
              </w:rPr>
              <w:t>Tiếp thu ý kiến. Tuy nhiên, nghĩa vụ của thuyền tr</w:t>
            </w:r>
            <w:r w:rsidRPr="000F1EC3">
              <w:rPr>
                <w:rFonts w:ascii="Times New Roman" w:hAnsi="Times New Roman" w:hint="eastAsia"/>
                <w:bCs/>
                <w:sz w:val="24"/>
              </w:rPr>
              <w:t>ư</w:t>
            </w:r>
            <w:r w:rsidRPr="000F1EC3">
              <w:rPr>
                <w:rFonts w:ascii="Times New Roman" w:hAnsi="Times New Roman"/>
                <w:bCs/>
                <w:sz w:val="24"/>
              </w:rPr>
              <w:t xml:space="preserve">ởng và thuyền viên liên quan </w:t>
            </w:r>
            <w:r w:rsidRPr="000F1EC3">
              <w:rPr>
                <w:rFonts w:ascii="Times New Roman" w:hAnsi="Times New Roman" w:hint="eastAsia"/>
                <w:bCs/>
                <w:sz w:val="24"/>
              </w:rPr>
              <w:t>đ</w:t>
            </w:r>
            <w:r w:rsidRPr="000F1EC3">
              <w:rPr>
                <w:rFonts w:ascii="Times New Roman" w:hAnsi="Times New Roman"/>
                <w:bCs/>
                <w:sz w:val="24"/>
              </w:rPr>
              <w:t xml:space="preserve">ến tìm kiếm, cứu hộ, cứu nạn chỉ là một trong nhiều nghĩa vụ chuyên ngành; nếu quy </w:t>
            </w:r>
            <w:r w:rsidRPr="000F1EC3">
              <w:rPr>
                <w:rFonts w:ascii="Times New Roman" w:hAnsi="Times New Roman" w:hint="eastAsia"/>
                <w:bCs/>
                <w:sz w:val="24"/>
              </w:rPr>
              <w:t>đ</w:t>
            </w:r>
            <w:r w:rsidRPr="000F1EC3">
              <w:rPr>
                <w:rFonts w:ascii="Times New Roman" w:hAnsi="Times New Roman"/>
                <w:bCs/>
                <w:sz w:val="24"/>
              </w:rPr>
              <w:t xml:space="preserve">ịnh cụ thể trong Bộ luật sẽ dẫn </w:t>
            </w:r>
            <w:r w:rsidRPr="000F1EC3">
              <w:rPr>
                <w:rFonts w:ascii="Times New Roman" w:hAnsi="Times New Roman" w:hint="eastAsia"/>
                <w:bCs/>
                <w:sz w:val="24"/>
              </w:rPr>
              <w:t>đ</w:t>
            </w:r>
            <w:r w:rsidRPr="000F1EC3">
              <w:rPr>
                <w:rFonts w:ascii="Times New Roman" w:hAnsi="Times New Roman"/>
                <w:bCs/>
                <w:sz w:val="24"/>
              </w:rPr>
              <w:t>ến trùng lặp, liệt kê ch</w:t>
            </w:r>
            <w:r w:rsidRPr="000F1EC3">
              <w:rPr>
                <w:rFonts w:ascii="Times New Roman" w:hAnsi="Times New Roman" w:hint="eastAsia"/>
                <w:bCs/>
                <w:sz w:val="24"/>
              </w:rPr>
              <w:t>ư</w:t>
            </w:r>
            <w:r w:rsidRPr="000F1EC3">
              <w:rPr>
                <w:rFonts w:ascii="Times New Roman" w:hAnsi="Times New Roman"/>
                <w:bCs/>
                <w:sz w:val="24"/>
              </w:rPr>
              <w:t xml:space="preserve">a </w:t>
            </w:r>
            <w:r w:rsidRPr="000F1EC3">
              <w:rPr>
                <w:rFonts w:ascii="Times New Roman" w:hAnsi="Times New Roman" w:hint="eastAsia"/>
                <w:bCs/>
                <w:sz w:val="24"/>
              </w:rPr>
              <w:t>đ</w:t>
            </w:r>
            <w:r w:rsidRPr="000F1EC3">
              <w:rPr>
                <w:rFonts w:ascii="Times New Roman" w:hAnsi="Times New Roman"/>
                <w:bCs/>
                <w:sz w:val="24"/>
              </w:rPr>
              <w:t xml:space="preserve">ầy </w:t>
            </w:r>
            <w:r w:rsidRPr="000F1EC3">
              <w:rPr>
                <w:rFonts w:ascii="Times New Roman" w:hAnsi="Times New Roman" w:hint="eastAsia"/>
                <w:bCs/>
                <w:sz w:val="24"/>
              </w:rPr>
              <w:t>đ</w:t>
            </w:r>
            <w:r w:rsidRPr="000F1EC3">
              <w:rPr>
                <w:rFonts w:ascii="Times New Roman" w:hAnsi="Times New Roman"/>
                <w:bCs/>
                <w:sz w:val="24"/>
              </w:rPr>
              <w:t xml:space="preserve">ủ. Do </w:t>
            </w:r>
            <w:r w:rsidRPr="000F1EC3">
              <w:rPr>
                <w:rFonts w:ascii="Times New Roman" w:hAnsi="Times New Roman" w:hint="eastAsia"/>
                <w:bCs/>
                <w:sz w:val="24"/>
              </w:rPr>
              <w:t>đó</w:t>
            </w:r>
            <w:r w:rsidRPr="000F1EC3">
              <w:rPr>
                <w:rFonts w:ascii="Times New Roman" w:hAnsi="Times New Roman"/>
                <w:bCs/>
                <w:sz w:val="24"/>
              </w:rPr>
              <w:t xml:space="preserve">, dự thảo chỉ quy </w:t>
            </w:r>
            <w:r w:rsidRPr="000F1EC3">
              <w:rPr>
                <w:rFonts w:ascii="Times New Roman" w:hAnsi="Times New Roman" w:hint="eastAsia"/>
                <w:bCs/>
                <w:sz w:val="24"/>
              </w:rPr>
              <w:t>đ</w:t>
            </w:r>
            <w:r w:rsidRPr="000F1EC3">
              <w:rPr>
                <w:rFonts w:ascii="Times New Roman" w:hAnsi="Times New Roman"/>
                <w:bCs/>
                <w:sz w:val="24"/>
              </w:rPr>
              <w:t xml:space="preserve">ịnh ở mức nguyên tắc và giao Chính phủ quy </w:t>
            </w:r>
            <w:r w:rsidRPr="000F1EC3">
              <w:rPr>
                <w:rFonts w:ascii="Times New Roman" w:hAnsi="Times New Roman" w:hint="eastAsia"/>
                <w:bCs/>
                <w:sz w:val="24"/>
              </w:rPr>
              <w:t>đ</w:t>
            </w:r>
            <w:r w:rsidRPr="000F1EC3">
              <w:rPr>
                <w:rFonts w:ascii="Times New Roman" w:hAnsi="Times New Roman"/>
                <w:bCs/>
                <w:sz w:val="24"/>
              </w:rPr>
              <w:t>ịnh chi tiết tại v</w:t>
            </w:r>
            <w:r w:rsidRPr="000F1EC3">
              <w:rPr>
                <w:rFonts w:ascii="Times New Roman" w:hAnsi="Times New Roman" w:hint="eastAsia"/>
                <w:bCs/>
                <w:sz w:val="24"/>
              </w:rPr>
              <w:t>ă</w:t>
            </w:r>
            <w:r w:rsidRPr="000F1EC3">
              <w:rPr>
                <w:rFonts w:ascii="Times New Roman" w:hAnsi="Times New Roman"/>
                <w:bCs/>
                <w:sz w:val="24"/>
              </w:rPr>
              <w:t>n bản d</w:t>
            </w:r>
            <w:r w:rsidRPr="000F1EC3">
              <w:rPr>
                <w:rFonts w:ascii="Times New Roman" w:hAnsi="Times New Roman" w:hint="eastAsia"/>
                <w:bCs/>
                <w:sz w:val="24"/>
              </w:rPr>
              <w:t>ư</w:t>
            </w:r>
            <w:r w:rsidRPr="000F1EC3">
              <w:rPr>
                <w:rFonts w:ascii="Times New Roman" w:hAnsi="Times New Roman"/>
                <w:bCs/>
                <w:sz w:val="24"/>
              </w:rPr>
              <w:t xml:space="preserve">ới luật </w:t>
            </w:r>
            <w:r w:rsidRPr="000F1EC3">
              <w:rPr>
                <w:rFonts w:ascii="Times New Roman" w:hAnsi="Times New Roman" w:hint="eastAsia"/>
                <w:bCs/>
                <w:sz w:val="24"/>
              </w:rPr>
              <w:t>đ</w:t>
            </w:r>
            <w:r w:rsidRPr="000F1EC3">
              <w:rPr>
                <w:rFonts w:ascii="Times New Roman" w:hAnsi="Times New Roman"/>
                <w:bCs/>
                <w:sz w:val="24"/>
              </w:rPr>
              <w:t xml:space="preserve">ể bảo </w:t>
            </w:r>
            <w:r w:rsidRPr="000F1EC3">
              <w:rPr>
                <w:rFonts w:ascii="Times New Roman" w:hAnsi="Times New Roman" w:hint="eastAsia"/>
                <w:bCs/>
                <w:sz w:val="24"/>
              </w:rPr>
              <w:t>đ</w:t>
            </w:r>
            <w:r w:rsidRPr="000F1EC3">
              <w:rPr>
                <w:rFonts w:ascii="Times New Roman" w:hAnsi="Times New Roman"/>
                <w:bCs/>
                <w:sz w:val="24"/>
              </w:rPr>
              <w:t xml:space="preserve">ảm </w:t>
            </w:r>
            <w:r w:rsidRPr="000F1EC3">
              <w:rPr>
                <w:rFonts w:ascii="Times New Roman" w:hAnsi="Times New Roman" w:hint="eastAsia"/>
                <w:bCs/>
                <w:sz w:val="24"/>
              </w:rPr>
              <w:t>đ</w:t>
            </w:r>
            <w:r w:rsidRPr="000F1EC3">
              <w:rPr>
                <w:rFonts w:ascii="Times New Roman" w:hAnsi="Times New Roman"/>
                <w:bCs/>
                <w:sz w:val="24"/>
              </w:rPr>
              <w:t xml:space="preserve">ầy </w:t>
            </w:r>
            <w:r w:rsidRPr="000F1EC3">
              <w:rPr>
                <w:rFonts w:ascii="Times New Roman" w:hAnsi="Times New Roman" w:hint="eastAsia"/>
                <w:bCs/>
                <w:sz w:val="24"/>
              </w:rPr>
              <w:t>đ</w:t>
            </w:r>
            <w:r w:rsidRPr="000F1EC3">
              <w:rPr>
                <w:rFonts w:ascii="Times New Roman" w:hAnsi="Times New Roman"/>
                <w:bCs/>
                <w:sz w:val="24"/>
              </w:rPr>
              <w:t>ủ, linh hoạt và phù hợp thực tiễn.</w:t>
            </w:r>
          </w:p>
        </w:tc>
      </w:tr>
      <w:tr w:rsidR="00137B24" w:rsidRPr="000F1EC3" w14:paraId="57AC9E68" w14:textId="77777777" w:rsidTr="001B580E">
        <w:trPr>
          <w:gridAfter w:val="1"/>
          <w:wAfter w:w="8" w:type="dxa"/>
        </w:trPr>
        <w:tc>
          <w:tcPr>
            <w:tcW w:w="914" w:type="dxa"/>
            <w:vAlign w:val="center"/>
          </w:tcPr>
          <w:p w14:paraId="40B8CC54"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0C838BD5"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88</w:t>
            </w:r>
          </w:p>
        </w:tc>
        <w:tc>
          <w:tcPr>
            <w:tcW w:w="1620" w:type="dxa"/>
            <w:vAlign w:val="center"/>
          </w:tcPr>
          <w:p w14:paraId="2D9831A3"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Trường ĐHGTVT TP HCM (văn bản số 260511-02/CV-UTH-MLP ngày 11/5/2026)</w:t>
            </w:r>
          </w:p>
        </w:tc>
        <w:tc>
          <w:tcPr>
            <w:tcW w:w="8872" w:type="dxa"/>
            <w:vAlign w:val="center"/>
          </w:tcPr>
          <w:p w14:paraId="42B50A1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Công ước STCW (Công ước Quốc tế về Tiêu chuẩn Huấn luyện, Cấp chứng chỉ và Trực ca cho Thuyền viên) đã chấp thuận chứng chỉ điện tử từ năm 2025 và bổ sung tiêu chuẩn bảo vệ người lao động hàng hải, do đó cần bổ sung quy định công nhận chứng chỉ điện tử của thuyền viên; đồng thời bổ sung quy định về phòng chống quấy rối, bạo lực lao động hàng hải để bảo đảm tương thích với pháp luật quốc tế. Vì vậy, đề nghị bồ sung điểm e vào khoản 2 Điều 88 như sau: "e) Chứng chỉ chuyên môn của thuyền viên có thể được cấp dưới hình thức điện tử theo quy định của pháp luật Việt Nam và điều ước quốc tế mà nước Cộng hòa xã hội chủ nghĩa Việt Nam là thành viên" Bổ sung Khoản 4 Điều 88 như sau: “Chứng chỉ chuyên môn điện tử của thuyền viên có giá trị pháp lý như chứng chỉ giấy nếu đáp ứng điều kiện xác thực theo quy định của pháp luật”.</w:t>
            </w:r>
          </w:p>
        </w:tc>
        <w:tc>
          <w:tcPr>
            <w:tcW w:w="2793" w:type="dxa"/>
            <w:vAlign w:val="center"/>
          </w:tcPr>
          <w:p w14:paraId="3650DFF6" w14:textId="53F7C4BC"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Nội dung mang tính quy đinh chi tiết, dự kiến được nghiên cứu, quy định tại các văn bản hướng dẫn thực hiện.</w:t>
            </w:r>
          </w:p>
        </w:tc>
      </w:tr>
      <w:tr w:rsidR="00137B24" w:rsidRPr="000F1EC3" w14:paraId="285D143B" w14:textId="77777777" w:rsidTr="001B580E">
        <w:trPr>
          <w:gridAfter w:val="1"/>
          <w:wAfter w:w="8" w:type="dxa"/>
        </w:trPr>
        <w:tc>
          <w:tcPr>
            <w:tcW w:w="914" w:type="dxa"/>
            <w:vAlign w:val="center"/>
          </w:tcPr>
          <w:p w14:paraId="1445E4E9"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586B6C0D"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89</w:t>
            </w:r>
          </w:p>
        </w:tc>
        <w:tc>
          <w:tcPr>
            <w:tcW w:w="1620" w:type="dxa"/>
            <w:vAlign w:val="center"/>
          </w:tcPr>
          <w:p w14:paraId="2C1D0B69"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714B8911"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79D64DC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bổ sung quy định nghĩa vụ của thuyền trưởng và thuyền viên liên quan đến nhiệm vụ tìm kiếm, cứu hộ, cứu nạn</w:t>
            </w:r>
          </w:p>
        </w:tc>
        <w:tc>
          <w:tcPr>
            <w:tcW w:w="2793" w:type="dxa"/>
            <w:vAlign w:val="center"/>
          </w:tcPr>
          <w:p w14:paraId="2D72CE32" w14:textId="683DC6F1"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Nội dung mang tính quy đinh chi tiết, dự kiến được nghiên cứu, quy định tại các văn bản hướng dẫn thực hiện.</w:t>
            </w:r>
          </w:p>
        </w:tc>
      </w:tr>
      <w:tr w:rsidR="00137B24" w:rsidRPr="000F1EC3" w14:paraId="257D65D6" w14:textId="77777777" w:rsidTr="001B580E">
        <w:trPr>
          <w:gridAfter w:val="1"/>
          <w:wAfter w:w="8" w:type="dxa"/>
        </w:trPr>
        <w:tc>
          <w:tcPr>
            <w:tcW w:w="914" w:type="dxa"/>
            <w:vAlign w:val="center"/>
          </w:tcPr>
          <w:p w14:paraId="15DDDA87"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7B151E45"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91</w:t>
            </w:r>
          </w:p>
        </w:tc>
        <w:tc>
          <w:tcPr>
            <w:tcW w:w="1620" w:type="dxa"/>
            <w:vAlign w:val="center"/>
          </w:tcPr>
          <w:p w14:paraId="743723DD"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0267DD95"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65AC6030"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bổ sung đối tượng thuyền viên của tàu thuyền quân sự, tàu kiểm ngư thuộc Bộ Quốc phòng được hưởng đặc thù riêng do Chính phủ quy định về công tác đào tạo, huấn luyện thuyền viên</w:t>
            </w:r>
          </w:p>
        </w:tc>
        <w:tc>
          <w:tcPr>
            <w:tcW w:w="2793" w:type="dxa"/>
            <w:vAlign w:val="center"/>
          </w:tcPr>
          <w:p w14:paraId="20F30116" w14:textId="4F63803B"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này được tiếp thu, quy định tại khoản 2 Điều 53 dự thảo như sau: Thuyền viên làm việc tàu thuyền quân sự, tàu kiểm ngư thuộc Bộ Quốc phòng được áp dụng về công tác đào tạo, huấn luyện thuyền viên tại mục này theo quy định của Chính phủ.</w:t>
            </w:r>
          </w:p>
        </w:tc>
      </w:tr>
      <w:tr w:rsidR="00137B24" w:rsidRPr="000F1EC3" w14:paraId="75670F6D" w14:textId="77777777" w:rsidTr="001B580E">
        <w:trPr>
          <w:gridAfter w:val="1"/>
          <w:wAfter w:w="8" w:type="dxa"/>
        </w:trPr>
        <w:tc>
          <w:tcPr>
            <w:tcW w:w="914" w:type="dxa"/>
            <w:vAlign w:val="center"/>
          </w:tcPr>
          <w:p w14:paraId="56B88919"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0070736E"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7508F349"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736A3DC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Điều 91: Cần rà soát lại dẫn chiếu “Thuyền viên của tàu thuyền công vụ, tàu ngầm, tàu lặn, kho chứa nổi, giàn di động và ụ nổi được áp dụng theo quy định tại Mục này.”, tuy nhiên Chương IV không phân chia thành mục.</w:t>
            </w:r>
          </w:p>
        </w:tc>
        <w:tc>
          <w:tcPr>
            <w:tcW w:w="2793" w:type="dxa"/>
            <w:vAlign w:val="center"/>
          </w:tcPr>
          <w:p w14:paraId="4DD166F1" w14:textId="33969E86"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w:t>
            </w:r>
          </w:p>
        </w:tc>
      </w:tr>
      <w:tr w:rsidR="00137B24" w:rsidRPr="000F1EC3" w14:paraId="41174394" w14:textId="77777777" w:rsidTr="001B580E">
        <w:trPr>
          <w:gridAfter w:val="1"/>
          <w:wAfter w:w="8" w:type="dxa"/>
        </w:trPr>
        <w:tc>
          <w:tcPr>
            <w:tcW w:w="914" w:type="dxa"/>
            <w:vAlign w:val="center"/>
          </w:tcPr>
          <w:p w14:paraId="0DC7CDAC"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452A09BD"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93</w:t>
            </w:r>
          </w:p>
        </w:tc>
        <w:tc>
          <w:tcPr>
            <w:tcW w:w="1620" w:type="dxa"/>
            <w:vAlign w:val="center"/>
          </w:tcPr>
          <w:p w14:paraId="78C471B9"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234BACC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Khoản 3 Điều 93: toàn bộ các khoản 1, 2 và 3 đều là các chính sách, vì vậy các điểm a, b và c khoản 3 có thể kết cấu thành các khoản 3, 4 và 5 và bỏ phần dẫn của Khoản 3 “ Nhà nước có chính sách:”. Tương tự, cần rà soát Điều 97.</w:t>
            </w:r>
          </w:p>
        </w:tc>
        <w:tc>
          <w:tcPr>
            <w:tcW w:w="2793" w:type="dxa"/>
            <w:vAlign w:val="center"/>
          </w:tcPr>
          <w:p w14:paraId="2930681F" w14:textId="68B56C72"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sửa đổi tại Điều 55 dự thảo.</w:t>
            </w:r>
          </w:p>
        </w:tc>
      </w:tr>
      <w:tr w:rsidR="00137B24" w:rsidRPr="000F1EC3" w14:paraId="6ED7536B" w14:textId="77777777" w:rsidTr="001B580E">
        <w:trPr>
          <w:gridAfter w:val="1"/>
          <w:wAfter w:w="8" w:type="dxa"/>
        </w:trPr>
        <w:tc>
          <w:tcPr>
            <w:tcW w:w="914" w:type="dxa"/>
            <w:vAlign w:val="center"/>
          </w:tcPr>
          <w:p w14:paraId="34886832"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7012216D"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94</w:t>
            </w:r>
          </w:p>
        </w:tc>
        <w:tc>
          <w:tcPr>
            <w:tcW w:w="1620" w:type="dxa"/>
            <w:vAlign w:val="center"/>
          </w:tcPr>
          <w:p w14:paraId="02993595"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4AA946A8"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của Điều 94 cũng là các chính sách, vì vậy cần hợp nhất vào Điều 93.</w:t>
            </w:r>
          </w:p>
        </w:tc>
        <w:tc>
          <w:tcPr>
            <w:tcW w:w="2793" w:type="dxa"/>
            <w:vAlign w:val="center"/>
          </w:tcPr>
          <w:p w14:paraId="5B087758" w14:textId="0326C990"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sửa đổi tại Điều 55 dự thảo.</w:t>
            </w:r>
          </w:p>
        </w:tc>
      </w:tr>
      <w:tr w:rsidR="00137B24" w:rsidRPr="000F1EC3" w14:paraId="61BB25F2" w14:textId="77777777" w:rsidTr="001B580E">
        <w:trPr>
          <w:gridAfter w:val="1"/>
          <w:wAfter w:w="8" w:type="dxa"/>
        </w:trPr>
        <w:tc>
          <w:tcPr>
            <w:tcW w:w="914" w:type="dxa"/>
            <w:vAlign w:val="center"/>
          </w:tcPr>
          <w:p w14:paraId="55A811A7"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2BBA0F28"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Chương IV</w:t>
            </w:r>
          </w:p>
        </w:tc>
        <w:tc>
          <w:tcPr>
            <w:tcW w:w="1620" w:type="dxa"/>
            <w:vAlign w:val="center"/>
          </w:tcPr>
          <w:p w14:paraId="1BE4430E"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 xml:space="preserve">ĐBQH Tây Ninh (văn bản số </w:t>
            </w:r>
            <w:r w:rsidRPr="000F1EC3">
              <w:rPr>
                <w:rFonts w:ascii="Times New Roman" w:hAnsi="Times New Roman"/>
                <w:b/>
                <w:bCs/>
                <w:sz w:val="24"/>
              </w:rPr>
              <w:lastRenderedPageBreak/>
              <w:t>106/DBQH-CTQH ngày 13/5/2026)</w:t>
            </w:r>
          </w:p>
        </w:tc>
        <w:tc>
          <w:tcPr>
            <w:tcW w:w="8872" w:type="dxa"/>
            <w:vAlign w:val="center"/>
          </w:tcPr>
          <w:p w14:paraId="1EED3B8B"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 xml:space="preserve">Đề nghị bổ sung các chính sách ưu đãi cụ thể về thuế thu nhập, bảo hiểm và chế độ đặc thù cho thuyền viên làm việc trong môi trường khắc nghiệt. Lý do: Hiện nay nguồn nhân lực hàng hải đang thiếu hụt nghiêm trọng do thu nhập và đãi ngộ chưa đủ sức hấp dẫn so với </w:t>
            </w:r>
            <w:r w:rsidRPr="000F1EC3">
              <w:rPr>
                <w:rFonts w:ascii="Times New Roman" w:hAnsi="Times New Roman"/>
                <w:sz w:val="24"/>
              </w:rPr>
              <w:lastRenderedPageBreak/>
              <w:t>các ngành nghề trên bờ. Nếu chỉ dừng lại ở các quy định chung chung về bảo đảm điều kiện làm việc thì sẽ không giải quyết được nguy cơ thiếu hụt thuyền viên tay nghề cao trong tương lai, ảnh hưởng trực tiếp đến năng lực cạnh tranh của đội tàu quốc gia.</w:t>
            </w:r>
          </w:p>
        </w:tc>
        <w:tc>
          <w:tcPr>
            <w:tcW w:w="2793" w:type="dxa"/>
            <w:vAlign w:val="center"/>
          </w:tcPr>
          <w:p w14:paraId="0E11F39A" w14:textId="080CE15B"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lastRenderedPageBreak/>
              <w:t xml:space="preserve">Nội dung đã được thể hiện tại khoản 5 Điều 6 dự thỏa như sau: 5. Ưu tiên phát </w:t>
            </w:r>
            <w:r w:rsidRPr="000F1EC3">
              <w:rPr>
                <w:rFonts w:ascii="Times New Roman" w:hAnsi="Times New Roman"/>
                <w:sz w:val="24"/>
              </w:rPr>
              <w:lastRenderedPageBreak/>
              <w:t>triển đội tàu vận tải biển, vận tải thủy nội địa thông qua chính sách ưu đãi về thuế, lãi suất vay vốn trong đầu tư phát triển đội tàu và trong hoạt động vận tải biển vận tải thủy.</w:t>
            </w:r>
          </w:p>
        </w:tc>
      </w:tr>
      <w:tr w:rsidR="00137B24" w:rsidRPr="000F1EC3" w14:paraId="4A8792B0" w14:textId="77777777" w:rsidTr="001B580E">
        <w:trPr>
          <w:gridAfter w:val="1"/>
          <w:wAfter w:w="8" w:type="dxa"/>
        </w:trPr>
        <w:tc>
          <w:tcPr>
            <w:tcW w:w="914" w:type="dxa"/>
            <w:vAlign w:val="center"/>
          </w:tcPr>
          <w:p w14:paraId="2AF5CA1F"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3257D2DE"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98</w:t>
            </w:r>
          </w:p>
        </w:tc>
        <w:tc>
          <w:tcPr>
            <w:tcW w:w="1620" w:type="dxa"/>
            <w:vAlign w:val="center"/>
          </w:tcPr>
          <w:p w14:paraId="6E414CB0"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Sở Xây dựng Điện Biên (văn bản số 2247/SXD-QLVT&amp;ATGT ngày 11/5/2026)</w:t>
            </w:r>
          </w:p>
        </w:tc>
        <w:tc>
          <w:tcPr>
            <w:tcW w:w="8872" w:type="dxa"/>
            <w:vAlign w:val="center"/>
          </w:tcPr>
          <w:p w14:paraId="5A27E510"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Phá dỡ tầu thuyền, hiện nay dự thảo chỉ quy định chung về hoạt động phá dỡ mà chưa quy định cụ thể hoặc giao Chính phủ quy định điều kiện đối với cơ sở thực hiện phá dỡ dễ phát sinh vướng mắc trong quá trình tổ chức thực hiện. Do đó, đề nghị cơ quan soạn thảo nghiên cứu bổ sung nội dung này</w:t>
            </w:r>
          </w:p>
        </w:tc>
        <w:tc>
          <w:tcPr>
            <w:tcW w:w="2793" w:type="dxa"/>
            <w:vAlign w:val="center"/>
          </w:tcPr>
          <w:p w14:paraId="478B6AA8" w14:textId="31DD7ECF"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chỉnh sửa</w:t>
            </w:r>
          </w:p>
        </w:tc>
      </w:tr>
      <w:tr w:rsidR="00137B24" w:rsidRPr="000F1EC3" w14:paraId="5DBDEA41" w14:textId="77777777" w:rsidTr="001B580E">
        <w:trPr>
          <w:gridAfter w:val="1"/>
          <w:wAfter w:w="8" w:type="dxa"/>
        </w:trPr>
        <w:tc>
          <w:tcPr>
            <w:tcW w:w="914" w:type="dxa"/>
            <w:vAlign w:val="center"/>
          </w:tcPr>
          <w:p w14:paraId="4E1333BE"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51B4D6A4"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99</w:t>
            </w:r>
          </w:p>
        </w:tc>
        <w:tc>
          <w:tcPr>
            <w:tcW w:w="1620" w:type="dxa"/>
            <w:vAlign w:val="center"/>
          </w:tcPr>
          <w:p w14:paraId="219B2A85"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Sở Xây dựng Khánh Hòa (văn bản số 4773/SXD-QLVT ngày 11/5/2026)</w:t>
            </w:r>
          </w:p>
        </w:tc>
        <w:tc>
          <w:tcPr>
            <w:tcW w:w="8872" w:type="dxa"/>
            <w:vAlign w:val="center"/>
          </w:tcPr>
          <w:p w14:paraId="58BAFB18"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Trên thực tế, hoạt động dịch vụ phục vụ vui chơi giải trí, du lịch còn diễn ra trên sông, hồ, đầm phá..., do đó đề nghị cơ quan soạn thảo điều chỉnh cho phù hợp.</w:t>
            </w:r>
          </w:p>
        </w:tc>
        <w:tc>
          <w:tcPr>
            <w:tcW w:w="2793" w:type="dxa"/>
            <w:vAlign w:val="center"/>
          </w:tcPr>
          <w:p w14:paraId="183FAC33" w14:textId="79A2618A"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mang tính quy định chi tiết, được tổng hợp, nghiên cứu trong quá trình xây dựng các văn bản hướng dẫn thực hiện.</w:t>
            </w:r>
          </w:p>
        </w:tc>
      </w:tr>
      <w:tr w:rsidR="00137B24" w:rsidRPr="000F1EC3" w14:paraId="5D9E7EA6" w14:textId="77777777" w:rsidTr="001B580E">
        <w:trPr>
          <w:gridAfter w:val="1"/>
          <w:wAfter w:w="8" w:type="dxa"/>
        </w:trPr>
        <w:tc>
          <w:tcPr>
            <w:tcW w:w="914" w:type="dxa"/>
            <w:vAlign w:val="center"/>
          </w:tcPr>
          <w:p w14:paraId="59D0B5A0"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36D49830"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100</w:t>
            </w:r>
          </w:p>
        </w:tc>
        <w:tc>
          <w:tcPr>
            <w:tcW w:w="1620" w:type="dxa"/>
            <w:vAlign w:val="center"/>
          </w:tcPr>
          <w:p w14:paraId="14DF33D8"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51D4A71B"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Cần đánh giá kỹ thực tiễn và xem xét lại quy định tại Khoản 3 “3. Tàu thuyền nước ngoài được thực hiện các hoạt động dịch vụ về nghiên cứu khoa học, cứu hộ, trục vớt tài sản chìm đắm, lai dắt hỗ trợ trong vùng nước cảng biển, lai dắt giữa các cảng biển, cảng thủy nội địa của Việt Nam, huấn luyện, văn hóa, thể thao, lắp đặt, bốc dỡ, xây dựng công trình biển, công trình ngầm, phục vụ khảo sát, thăm dò, khai thác tài nguyên, dịch vụ sửa chữa, đóng mới và các hoạt động khác về môi trường trong vùng biển Việt Nam khi tàu thuyền Việt Nam không có đủ khả năng thực hiện.”. Tuy nhiên, vấn đề này liên quan đến quốc tịch của tàu. Trên cơ sở các điều ước quốc tế và rà soát pháp luật có liên quan, cần phân định rõ, đối với các hoạt động dịch vụ văn hóa, thể thao thực hiện trên tàu nước ngoài thì pháp luật Việt Nam điều chỉnh đến đâu?</w:t>
            </w:r>
          </w:p>
          <w:p w14:paraId="661B9524"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Bên cạnh đó, việc chỉ cho phép các hoạt động được liệt kê sẽ dẫn đến cách hiểu, các hoạt động không được liệt kê sẽ không được phép. Thực tế, trong thời gian qua, bằng sự nỗ lực của ngành du lịch thông qua các hoạt động xúc tiến, quảng bá du lịch, Việt Nam đã thu hút được một số hãng tàu du lịch lớn, đưa lượng khách du lịch đến thăm Việt Nam. Việc các </w:t>
            </w:r>
            <w:r w:rsidRPr="000F1EC3">
              <w:rPr>
                <w:rFonts w:ascii="Times New Roman" w:hAnsi="Times New Roman"/>
                <w:sz w:val="24"/>
              </w:rPr>
              <w:lastRenderedPageBreak/>
              <w:t>tàu du lịch (du thuyền) lớn của nước ngoài cập cảng Việt Nam mang lại những lợi ích to lớn và toàn diện, không chỉ cho ngành du lịch mà còn cho kinh tế, hạ tầng và hình ảnh quốc gia, vì vậy cần xem xét kỹ các quy định có liên quan.</w:t>
            </w:r>
          </w:p>
        </w:tc>
        <w:tc>
          <w:tcPr>
            <w:tcW w:w="2793" w:type="dxa"/>
            <w:vAlign w:val="center"/>
          </w:tcPr>
          <w:p w14:paraId="4B357A37" w14:textId="49A01F7E"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lastRenderedPageBreak/>
              <w:t>Nội dung này kế thừa quy định tại Bộ luật HHVN năm 2015, tuy nhiên, tiếp thu ý kiến góp ý, đối với tàu du lịch nước ngoài vào VN, cơ quan soạn thảo tổng hợp, nghiên cứu trong quá trình hoàn thiện văn bản quy định chi tiết, hướng dẫn thực hiện.</w:t>
            </w:r>
          </w:p>
        </w:tc>
      </w:tr>
      <w:tr w:rsidR="00137B24" w:rsidRPr="000F1EC3" w14:paraId="789C7241" w14:textId="77777777" w:rsidTr="001B580E">
        <w:trPr>
          <w:gridAfter w:val="1"/>
          <w:wAfter w:w="8" w:type="dxa"/>
        </w:trPr>
        <w:tc>
          <w:tcPr>
            <w:tcW w:w="914" w:type="dxa"/>
            <w:vAlign w:val="center"/>
          </w:tcPr>
          <w:p w14:paraId="246D8B03"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197AAA5D"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104</w:t>
            </w:r>
          </w:p>
        </w:tc>
        <w:tc>
          <w:tcPr>
            <w:tcW w:w="1620" w:type="dxa"/>
            <w:vAlign w:val="center"/>
          </w:tcPr>
          <w:p w14:paraId="11E67513"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Hiệp hội Đại lý, Môi giới và Dịch vụ Hàng hải (văn bản số 009/CV VSB ngày 10/5/2026)</w:t>
            </w:r>
          </w:p>
        </w:tc>
        <w:tc>
          <w:tcPr>
            <w:tcW w:w="8872" w:type="dxa"/>
            <w:vAlign w:val="center"/>
          </w:tcPr>
          <w:p w14:paraId="512611B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Điều 104 Dự thảo Bộ luật (kế thừa Điều 167 Bộ luật Hàng hải 2015) quy định: khi người nhận hàng không đến nhận hoặc từ chối nhận, người vận chuyển có quyền dỡ hàng, gửi vào nơi an toàn và sau 60 ngày có quyền bán đấu giá. Tuy nhiên, trên thực tế, người vận chuyển (hãng tàu) thường không chủ động thực hiện quyền này, để hàng tồn đọng kéo dài tại cảng, chiếm dụng bãi của nhà khai thác cảng. Ngoài ra, Dự thảo Bộ luật cũng chưa có quy định về thể lệ bốc xếp, giao nhận hàng hóa tại cảng biển, vốn là cơ sở pháp lý quan trọng để xác định trách nhiệm các bên và xử lý các tranh chấp phát sinh (lưu ý: Quyết định số 2106-QĐ/GTVT năm 1997 về thể lệ bốc dỡ, giao nhận và bảo quản hàng hóa tại cảng biển đã hết hiệu lực từ tháng 3/2024 và chưa có văn bản thay thế). Quy định hiện hành đang đặt trọng tâm quyền xử lý ở người vận chuyển, chưa trao cơ chế chủ động tương xứng cho nhà khai thác cảng là bên trực tiếp chịu tồn bãi.</w:t>
            </w:r>
          </w:p>
          <w:p w14:paraId="3C82CC6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Hiệp hội đề xuất: Bổ sung quy định về thể lệ bốc xếp, giao nhận và bảo quản hàng hóa tại cảng biển, làm căn cứ pháp lý thống nhất cho hoạt động khai thác cảng, xác định quyền và trách nhiệm của các bên: Chuyển thẩm quyền xử lý hàng vô chủ, hàng tồn đọng từ người vận chuyển sang nhà khai thác cảng: khi hàng tồn quá 06 tháng mà người vận chuyển không xử lý, nhà khai thác cảng có quyền chủ động phối hợp với người vận chuyển và cơ quan chức năng tiến hành thanh lý, xử lý theo quy định pháp luật, nhằm giảm tình trạng chiếm dụng bãi và ảnh hưởng đến năng lực khai thác của cảng.</w:t>
            </w:r>
          </w:p>
        </w:tc>
        <w:tc>
          <w:tcPr>
            <w:tcW w:w="2793" w:type="dxa"/>
            <w:vAlign w:val="center"/>
          </w:tcPr>
          <w:p w14:paraId="00E8A8B2" w14:textId="0D0E9D4E"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mang tính quy định chi tiết, được tổng hợp, tiếp thu trong quá trình xây dựng các văn bản hướng dẫn thực hiện.</w:t>
            </w:r>
          </w:p>
        </w:tc>
      </w:tr>
      <w:tr w:rsidR="00137B24" w:rsidRPr="000F1EC3" w14:paraId="3DBE2ECF" w14:textId="77777777" w:rsidTr="001B580E">
        <w:trPr>
          <w:gridAfter w:val="1"/>
          <w:wAfter w:w="8" w:type="dxa"/>
        </w:trPr>
        <w:tc>
          <w:tcPr>
            <w:tcW w:w="914" w:type="dxa"/>
            <w:vAlign w:val="center"/>
          </w:tcPr>
          <w:p w14:paraId="24D80D4B"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0F82C7FF"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273F3BA2"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3FDF7FF5"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Xử lý hàng hóa bị lưu giữ: Đề xuất: Đề xuất nghiên cứu bổ sung nội dung nhằm cho phép doanh nghiệp khai thác cảng được quyền vận chuyển hàng tồn lâu khỏi cảng.</w:t>
            </w:r>
          </w:p>
        </w:tc>
        <w:tc>
          <w:tcPr>
            <w:tcW w:w="2793" w:type="dxa"/>
            <w:vAlign w:val="center"/>
          </w:tcPr>
          <w:p w14:paraId="7C3CA621" w14:textId="1F392B9C"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Nội dung mang tính quy định chi tiết, được tổng hợp, tiếp thu trong quá trình xây dựng các văn bản hướng dẫn thực hiện.</w:t>
            </w:r>
          </w:p>
        </w:tc>
      </w:tr>
      <w:tr w:rsidR="00137B24" w:rsidRPr="000F1EC3" w14:paraId="06BA9A6C" w14:textId="77777777" w:rsidTr="001B580E">
        <w:trPr>
          <w:gridAfter w:val="1"/>
          <w:wAfter w:w="8" w:type="dxa"/>
        </w:trPr>
        <w:tc>
          <w:tcPr>
            <w:tcW w:w="914" w:type="dxa"/>
            <w:vAlign w:val="center"/>
          </w:tcPr>
          <w:p w14:paraId="4416878D"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2F5B0996"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116</w:t>
            </w:r>
          </w:p>
        </w:tc>
        <w:tc>
          <w:tcPr>
            <w:tcW w:w="1620" w:type="dxa"/>
            <w:vAlign w:val="center"/>
          </w:tcPr>
          <w:p w14:paraId="528B7F68"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 xml:space="preserve">Sở Xây dựng Lào Cai (văn bản số 2441/SXD-VTPTNL </w:t>
            </w:r>
            <w:r w:rsidRPr="000F1EC3">
              <w:rPr>
                <w:rFonts w:ascii="Times New Roman" w:hAnsi="Times New Roman"/>
                <w:b/>
                <w:bCs/>
                <w:sz w:val="24"/>
              </w:rPr>
              <w:lastRenderedPageBreak/>
              <w:t>ngày 8/5/2026)</w:t>
            </w:r>
          </w:p>
        </w:tc>
        <w:tc>
          <w:tcPr>
            <w:tcW w:w="8872" w:type="dxa"/>
            <w:vAlign w:val="center"/>
          </w:tcPr>
          <w:p w14:paraId="4CA3904C"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 xml:space="preserve">- Tại khoản 2 Điều 116 dự thảo quy định: "Hợp đồng vận tải hành khách được lập thành văn bản theo quy định của pháp luật". "…Hợp đồng vận tải hành khách được lập thành văn bản giấy hoặc điện tử theo quy định của pháp luật" Lý do: Để bảo đảm tính thống nhất về hình thức giao kết hợp đồng giữa hai lĩnh vực trong cùng một bộ luật và phù hợp với chủ trương chuyển đổi số theo quy định tại khoản 1 Điều 108 dự thảo Bộ luật Hàng hải và </w:t>
            </w:r>
            <w:r w:rsidRPr="000F1EC3">
              <w:rPr>
                <w:rFonts w:ascii="Times New Roman" w:hAnsi="Times New Roman"/>
                <w:sz w:val="24"/>
              </w:rPr>
              <w:lastRenderedPageBreak/>
              <w:t>Đường thủy nội địa Việt Nam quy định: "…Hợp đồng vận tải hành khách, hành lý phải được giao kết bằng văn bản giấy hoặc điện tử"</w:t>
            </w:r>
          </w:p>
          <w:p w14:paraId="39E39371"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Tại khoản 3 Điều 116 dự thảo, đề nghị sửa đổi, bổ sung như sau: “3. Vé hành khách là bằng chứng của việc giao kết hợp đồng vận tải hành khách. Vé hành khách phải theo mẫu quy định, trong đó ghi rõ tên, số đăng ký của tàu thuyền; tên cảng, bến nơi đi; tên cảng, bến nơi đến; ngày, giờ tàu thuyền rời cảng, bến và giá vé. Vé hành khách áp dụng với loại hình Vận tải hành khách theo tuyến cố định, Vận tải hành khách công cộng và Vận tải hành khách ngang sông” Lý do: Theo quy định tại khoản 1 Điều 4 dự thảo Bộ luật Hàng hải và Đường thủy nội địa Việt Nam quy định thuật ngữ chung là "Tàu thuyền", đồng thời ngay tại điểm a, điểm d và điểm đ khoản 1 Điều 116 dự thảo Bộ luật này cũng đang sử dụng thống nhất thuật ngữ "tàu thuyền". Do đó đề nghị cơ quan soạn thảo, rà soát, chỉnh sửa thay thế cụm từ "phương tiện" bằng cụm từ "tàu thuyền" tại khoản 3 Điều 116 cho phù hợp; bổ sung nội dung làm rõ vé hành khách áp dụng với loại hình vận tải hành khách nào.</w:t>
            </w:r>
          </w:p>
        </w:tc>
        <w:tc>
          <w:tcPr>
            <w:tcW w:w="2793" w:type="dxa"/>
            <w:vAlign w:val="center"/>
          </w:tcPr>
          <w:p w14:paraId="6A9C3C1A" w14:textId="71A2BFD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lastRenderedPageBreak/>
              <w:t>Tiếp thu, sửa đổi tại Điều 71, các nội dung mang tính chi tiết được tổng</w:t>
            </w:r>
            <w:r w:rsidRPr="000F1EC3">
              <w:rPr>
                <w:rFonts w:ascii="Times New Roman" w:hAnsi="Times New Roman"/>
                <w:b/>
                <w:bCs/>
                <w:sz w:val="24"/>
              </w:rPr>
              <w:t xml:space="preserve"> </w:t>
            </w:r>
            <w:r w:rsidRPr="000F1EC3">
              <w:rPr>
                <w:rFonts w:ascii="Times New Roman" w:hAnsi="Times New Roman"/>
                <w:sz w:val="24"/>
              </w:rPr>
              <w:t>hợp, tiếp thu trong quá trình xây dựng các văn bản hướng dẫn thực hiện.</w:t>
            </w:r>
          </w:p>
        </w:tc>
      </w:tr>
      <w:tr w:rsidR="00137B24" w:rsidRPr="000F1EC3" w14:paraId="2780713F" w14:textId="77777777" w:rsidTr="001B580E">
        <w:trPr>
          <w:gridAfter w:val="1"/>
          <w:wAfter w:w="8" w:type="dxa"/>
        </w:trPr>
        <w:tc>
          <w:tcPr>
            <w:tcW w:w="914" w:type="dxa"/>
            <w:vAlign w:val="center"/>
          </w:tcPr>
          <w:p w14:paraId="3FC2E711"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33275C1B"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139</w:t>
            </w:r>
          </w:p>
        </w:tc>
        <w:tc>
          <w:tcPr>
            <w:tcW w:w="1620" w:type="dxa"/>
            <w:vAlign w:val="center"/>
          </w:tcPr>
          <w:p w14:paraId="080544FD"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Công ty CP DV VT biển Vũng Tàu (văn bản số 542/VTS-TCNS ngày 11/5/2026)</w:t>
            </w:r>
          </w:p>
        </w:tc>
        <w:tc>
          <w:tcPr>
            <w:tcW w:w="8872" w:type="dxa"/>
            <w:vAlign w:val="center"/>
          </w:tcPr>
          <w:p w14:paraId="4D3454D5" w14:textId="754C069B"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xem xét giữ lại quy định về "Vùng hoa tiêu..." tại khoản 2 Điều 139 của Dự thảo và sửa thành "Vùng hoa tiêu bắt buộc" (Dự thảo hiện nay bỏ quy định về "Vùng hoa tiêu hàng hải bắt buộc" mà chỉ quy định về "Tuyến hoa tiêu và đường thuỷ nội địa bắt buộc").</w:t>
            </w:r>
          </w:p>
          <w:p w14:paraId="6BA74EAF"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Lý do đề nghị: Thứ nhất: để phù hợp với thông lệ quốc tế (tham khảo quy định về hoạt động hoa tiêu của các nước Anh, Mỹ, Singapore....) Thứ hai: hoạt động hoa tiêu hàng hải ngoài việc phát sinh trên các tuyến dẫn tàu (được quy định cố định, theo các quy định giải thích trong các văn bản QPPL hiện hành liệt kê dưới đây) còn phát sinh giữa các vị trí neo đậu, các cầu, bến cảng nằm trong cùng một Vùng (có phạm vi rộng hơn, bao hàm cả tuyến dẫn tàu, theo các quy định giải thích trong các văn bản QPPL hiện hành liệt kê dưới đây) giữa các tuyến dẫn tàu.</w:t>
            </w:r>
          </w:p>
          <w:p w14:paraId="0C829194"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Khái niệm về Vùng hoa tiêu hàng hải bắt buộc được giải thích thống nhất tại khoản 1 Điều 2 Nghị định số 173/2007/NĐ-CP ngày 28/11/2007 của Chính Phủ quy định về tổ chức và hoạt động của hoa tiêu hàng hải; khoản 1 Điều 3 Nghị định số 70/2016/NĐ-CP ngày 01/7/2016 của Chính Phủ quy định về điều kiện cung cấp dịch vụ hàng hải và khoản 17 Điều 3 Nghị định số 58/2017/NĐ-CP ngày 10/5/2017 của Chính Phủ quy định quy định chi tiết một số điều của Bộ Luật hàng hải Việt Nam về quản lý hoạt động hàng hải "Vùng hoa tiêu hàng hải bắt buộc (gọi tắt là vùng hoa tiêu bắt buộc) là phần giới hạn trong vùng nước cảng biển hoặc khu vực khai thác dầu khí ngoài khơi, được xác định từ vùng đón trả hoa tiêu đến cầu cảng, bến cảng, khu neo đậu, khu chuyển tải, khu tránh bão, nhà máy đóng - sửa chữa tàu biển, cảng dầu khí ngoài khơi và ngược lại mà tàu biển khi di chuyển phải </w:t>
            </w:r>
            <w:r w:rsidRPr="000F1EC3">
              <w:rPr>
                <w:rFonts w:ascii="Times New Roman" w:hAnsi="Times New Roman"/>
                <w:sz w:val="24"/>
              </w:rPr>
              <w:lastRenderedPageBreak/>
              <w:t>sử dụng hoa tiêu dẫn tàu theo quy định của Bộ luật Hàng hải Việt Nam. Một vùng hoa tiêu bắt buộc bao gồm một hoặc nhiều tuyển dẫn tàu."</w:t>
            </w:r>
          </w:p>
          <w:p w14:paraId="081793F1"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Khái niệm về tuyến dẫn tàu được giải thích tại khoản 2 Điều 3 Nghị định số 70/2016/NĐ-CP ngày 01/7/2016 của Chính Phủ quy định về điều kiện cung cấp dịch vụ hàng hải " Tuyến dẫn tàu là tuyến hành trình của tàu thuyền do hoa tiêu dẫn từ vùng đón trả hoa tiêu vào cầu cảng, bến cảng, khu neo đậu, khu chuyển tải, khu tránh bão, nhà máy đóng - sửa chữa tàu biển của một cảng biển hoặc cảng dầu khí ngoài khơi thuộc vùng hoa tiêu bắt buộc."</w:t>
            </w:r>
          </w:p>
        </w:tc>
        <w:tc>
          <w:tcPr>
            <w:tcW w:w="2793" w:type="dxa"/>
            <w:vAlign w:val="center"/>
          </w:tcPr>
          <w:p w14:paraId="0B93285F" w14:textId="759A46A9"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Tiếp thu, chỉnh sửa.</w:t>
            </w:r>
          </w:p>
        </w:tc>
      </w:tr>
      <w:tr w:rsidR="00137B24" w:rsidRPr="000F1EC3" w14:paraId="53645E0D" w14:textId="77777777" w:rsidTr="001B580E">
        <w:trPr>
          <w:gridAfter w:val="1"/>
          <w:wAfter w:w="8" w:type="dxa"/>
        </w:trPr>
        <w:tc>
          <w:tcPr>
            <w:tcW w:w="914" w:type="dxa"/>
            <w:vAlign w:val="center"/>
          </w:tcPr>
          <w:p w14:paraId="0585423A"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644A515B"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140</w:t>
            </w:r>
          </w:p>
        </w:tc>
        <w:tc>
          <w:tcPr>
            <w:tcW w:w="1620" w:type="dxa"/>
            <w:vAlign w:val="center"/>
          </w:tcPr>
          <w:p w14:paraId="1220094C"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Tổng công ty Bảo đảm an toàn hàng hải Việt Nam </w:t>
            </w:r>
          </w:p>
          <w:p w14:paraId="72115809"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222/VMSC-ATHH ngày 11/5/206)</w:t>
            </w:r>
          </w:p>
        </w:tc>
        <w:tc>
          <w:tcPr>
            <w:tcW w:w="8872" w:type="dxa"/>
            <w:vAlign w:val="center"/>
          </w:tcPr>
          <w:p w14:paraId="1E6B50A6" w14:textId="77777777" w:rsidR="00137B24" w:rsidRPr="000F1EC3" w:rsidRDefault="00137B24" w:rsidP="00137B24">
            <w:pPr>
              <w:spacing w:before="20" w:after="20"/>
              <w:jc w:val="both"/>
              <w:rPr>
                <w:rFonts w:ascii="Times New Roman" w:hAnsi="Times New Roman"/>
                <w:bCs/>
                <w:sz w:val="24"/>
              </w:rPr>
            </w:pPr>
            <w:r w:rsidRPr="000F1EC3">
              <w:rPr>
                <w:rFonts w:ascii="Times New Roman" w:hAnsi="Times New Roman"/>
                <w:sz w:val="24"/>
              </w:rPr>
              <w:t xml:space="preserve">Khoản 2: Đề nghị bỏ khoản này </w:t>
            </w:r>
            <w:r w:rsidRPr="000F1EC3">
              <w:rPr>
                <w:rFonts w:ascii="Times New Roman" w:hAnsi="Times New Roman"/>
                <w:bCs/>
                <w:sz w:val="24"/>
              </w:rPr>
              <w:t>vì các lý do sau:</w:t>
            </w:r>
          </w:p>
          <w:p w14:paraId="1601C20E" w14:textId="77777777" w:rsidR="00137B24" w:rsidRPr="000F1EC3" w:rsidRDefault="00137B24" w:rsidP="00137B24">
            <w:pPr>
              <w:spacing w:before="20" w:after="20"/>
              <w:jc w:val="both"/>
              <w:rPr>
                <w:rFonts w:ascii="Times New Roman" w:hAnsi="Times New Roman"/>
                <w:bCs/>
                <w:sz w:val="24"/>
              </w:rPr>
            </w:pPr>
            <w:r w:rsidRPr="000F1EC3">
              <w:rPr>
                <w:rFonts w:ascii="Times New Roman" w:hAnsi="Times New Roman"/>
                <w:bCs/>
                <w:sz w:val="24"/>
              </w:rPr>
              <w:t>- Theo quy định tại Điều 141 của Dự thảo, hoa tiêu là người tư vấn, hỗ trợ thuyền trưởng điều khiển tàu phù hợp với điều kiện hàng hải tại khu vực dẫn tàu. Trong quá trình cung cấp dịch vụ dẫn tàu, tổ chức hoa tiêu chủ yếu sử dụng năng lực chuyên môn của hoa tiêu, trang thiết bị và nhân lực của chính tổ chức hoa tiêu để thực hiện hoạt động dẫn tàu; không trực tiếp khai thác riêng biệt kết cấu hạ tầng hàng hải ngoài phạm vi phục vụ chung cho tàu thuyền.</w:t>
            </w:r>
          </w:p>
          <w:p w14:paraId="5C7E4D14" w14:textId="77777777" w:rsidR="00137B24" w:rsidRPr="000F1EC3" w:rsidRDefault="00137B24" w:rsidP="00137B24">
            <w:pPr>
              <w:spacing w:before="20" w:after="20"/>
              <w:jc w:val="both"/>
              <w:rPr>
                <w:rFonts w:ascii="Times New Roman" w:hAnsi="Times New Roman"/>
                <w:bCs/>
                <w:sz w:val="24"/>
              </w:rPr>
            </w:pPr>
            <w:r w:rsidRPr="000F1EC3">
              <w:rPr>
                <w:rFonts w:ascii="Times New Roman" w:hAnsi="Times New Roman"/>
                <w:bCs/>
                <w:sz w:val="24"/>
              </w:rPr>
              <w:t xml:space="preserve">- Trong khi đó, tàu biển hoạt động trong vùng nước cảng biển đã thực hiện nghĩa vụ tài chính liên quan đến sử dụng kết cấu hạ tầng và dịch vụ bảo đảm an toàn hàng hải theo quy định của pháp luật. </w:t>
            </w:r>
          </w:p>
          <w:p w14:paraId="745FE8BB"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bCs/>
                <w:sz w:val="24"/>
              </w:rPr>
              <w:t xml:space="preserve">Vì vậy, việc quy định tổ chức hoa tiêu phải trả phí, lệ phí trong quá trình cung cấp dịch vụ là chưa phù hợp với bản chất hoạt động hoa tiêu hàng hải. </w:t>
            </w:r>
          </w:p>
        </w:tc>
        <w:tc>
          <w:tcPr>
            <w:tcW w:w="2793" w:type="dxa"/>
            <w:vAlign w:val="center"/>
          </w:tcPr>
          <w:p w14:paraId="1E70406D" w14:textId="4FB39ABF"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chỉnh sửa.</w:t>
            </w:r>
          </w:p>
        </w:tc>
      </w:tr>
      <w:tr w:rsidR="00137B24" w:rsidRPr="000F1EC3" w14:paraId="1268762F" w14:textId="77777777" w:rsidTr="001B580E">
        <w:trPr>
          <w:gridAfter w:val="1"/>
          <w:wAfter w:w="8" w:type="dxa"/>
        </w:trPr>
        <w:tc>
          <w:tcPr>
            <w:tcW w:w="914" w:type="dxa"/>
            <w:vAlign w:val="center"/>
          </w:tcPr>
          <w:p w14:paraId="4C790B5D"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5AB5C52D"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0A5A39C0"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Công ty CP DV VT biển Vũng Tàu (văn bản số 542/VTS-TCNS ngày 11/5/2026)</w:t>
            </w:r>
          </w:p>
        </w:tc>
        <w:tc>
          <w:tcPr>
            <w:tcW w:w="8872" w:type="dxa"/>
            <w:vAlign w:val="center"/>
          </w:tcPr>
          <w:p w14:paraId="42662B8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Đề nghị bỏ nội dung quy định tại Khoản 2 Điều 140 của Dự thảo Bộ luật "Tổ chức hoa tiêu phải trả phí, lệ phí hoa tiêu trong quá trình hoa tiêu cung cấp dịch vụ dẫn tàu". </w:t>
            </w:r>
          </w:p>
          <w:p w14:paraId="64A0BD65"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Lý do đề nghị: </w:t>
            </w:r>
          </w:p>
          <w:p w14:paraId="058EC65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Thứ nhất: Theo quy định tại Điều 3 Luật Phí và Lệ phí ngày 25/11/2015: </w:t>
            </w:r>
          </w:p>
          <w:p w14:paraId="515C2B6F"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"Điều 3. Giải thích từ ngữ Trong Luật này, các từ ngũ dưới đây được hiểu như sau: 1. Phí là khoản tiền mà tổ chức, cá nhân phải trả nhằm cơ bản bù đắp chi phí và mang tính phục vụ khi được cơ quan nhà nước, đơn vị sự nghiệp công lập và tổ chức được cơ quan nhà nước có thấm quyền giao cung cấp dịch vụ công được quy định trong Danh mục phí ban hành kèm theo Luật này. </w:t>
            </w:r>
          </w:p>
          <w:p w14:paraId="57FB18C4"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2. Lệ phí là khoản tiền được ấn định mà tổ chức, cá nhân phải nộp khi được cơ quan nhà nước cung cấp dịch vụ công, phục vụ công việc quản lý nhà nước được quy định trong Danh mục lệ phí ban hành kèm theo Luật này". </w:t>
            </w:r>
          </w:p>
          <w:p w14:paraId="56F1F011"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Trong quá trình hoa tiêu cung cấp dịch vụ dẫn tàu, địa vị pháp lý của hoa tiêu là người cố vấn cho thuyền trưởng điều khiển tàu phù hợp với điều kiện hàng hải ở khu vực dẫn tàu </w:t>
            </w:r>
            <w:r w:rsidRPr="000F1EC3">
              <w:rPr>
                <w:rFonts w:ascii="Times New Roman" w:hAnsi="Times New Roman"/>
                <w:sz w:val="24"/>
              </w:rPr>
              <w:lastRenderedPageBreak/>
              <w:t>của hoa tiêu hàng hải, không phải đối tượng sử dụng dịch vụ công do "cơ quan nhà nước, đơn vị sự nghiệp công lập và tổ chức được cơ quan nhà nước có thẩm quyền giao cung cấp" nên không thuộc đối tượng nộp phí, lệ phí. Đồng thời, phí, lệ phí hoa tiêu không nằm trong danh mục phí, lệ phí tại Phụ lục 1 ban hành kèm theo Luật Phí và Lệ phí ngày 25/11/2015.</w:t>
            </w:r>
          </w:p>
          <w:p w14:paraId="1A93A65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Thứ hai: Các công ty hoa tiêu hiện là doanh nghiệp do Nhà nước nắm giữ tối thiểu 75% vốn điều lệ theo quy định tại Điều 17 Nghị định số 70/2016/NĐ-CP; lợi nhuận thu được sau khi trích lập các quỹ, phần lón nộp về chủ sở hữu Nhà nước. Do đó, nếu đồng thời nhà nước vừa thu khoản lợi nhuận có được từ hoạt động sản xuất kinh doanh của các tổ chức hoa tiêu, vừa thu thêm phí, lệ phí từ chính các tổ chức hoa tiêu mà Nhà nước đang nắm giữ vốn chi phối là không phủ hợp.</w:t>
            </w:r>
          </w:p>
        </w:tc>
        <w:tc>
          <w:tcPr>
            <w:tcW w:w="2793" w:type="dxa"/>
            <w:vAlign w:val="center"/>
          </w:tcPr>
          <w:p w14:paraId="2D618CEF" w14:textId="384466E1"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lastRenderedPageBreak/>
              <w:t>Tiếp thu, chỉnh sửa.</w:t>
            </w:r>
          </w:p>
        </w:tc>
      </w:tr>
      <w:tr w:rsidR="00137B24" w:rsidRPr="000F1EC3" w14:paraId="0DF20CBE" w14:textId="77777777" w:rsidTr="001B580E">
        <w:trPr>
          <w:gridAfter w:val="1"/>
          <w:wAfter w:w="8" w:type="dxa"/>
        </w:trPr>
        <w:tc>
          <w:tcPr>
            <w:tcW w:w="914" w:type="dxa"/>
            <w:vAlign w:val="center"/>
          </w:tcPr>
          <w:p w14:paraId="4C8A95E2"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7BA4CA67"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7BF5C04F"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Hiệp hội Hoa tiêu Việt Nam (văn bản số 11/HHHTHHVN ngày 11/5/2026)</w:t>
            </w:r>
          </w:p>
        </w:tc>
        <w:tc>
          <w:tcPr>
            <w:tcW w:w="8872" w:type="dxa"/>
            <w:vAlign w:val="center"/>
          </w:tcPr>
          <w:p w14:paraId="1DDF904F"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Về Khoản 2 Điều 140 Dụ thảo Bộ luật, Hiệp hội Hoa tiêu hàng hải Việt Nan kính đề nghị Bộ Xây dựng xem xét đối với nội dung quy định: "Tổ chức hoa tiêu phải trả phí, lệ phí hoa tiêu trong quá trình hoa tiêu cung cấp địch vụ dẫn tàu". Theo quá trình hoạt động của ngành hoa tiêu hàng hải Việt Nam, khoản thu dịch vụ hoa tiêu hàng hải đã được chuyển đổi từ cơ chế phí (áp dụng từ năm 2001 đến ngày 01/01/2017 theo Pháp lệnh Phí và lệ phí) sang cơ chế giá (từ ngày 01/01/2017 đến nay) theo Bộ luật Hàng hải 2015 và Luật Phí, lệ phí 2015; hiện Bộ Xây dựng đang thực hiện định giá tối đa theo Luật Giá 2023. Việc dự thảo quy định tổ chức hoa tiêu phải "trả phí, lệ phí" trong khi các công ty hoa tiêu đang thu "giá dịch vụ" từ chủ tàu tiềm ẩn nguy cơ phí chồng phí, gây hệ quả bất hợp lý và tăng chi phí cho cả doanh nghiệp lẫn chủ tàu. Trong những năm qua, được sự quan tâm, ủng hộ và tạo điều kiện từ Bộ Xây dựng, Cục Hàng hải và Đường thủy Việt Nam và các cấp có thẩm quyền, các doanh nghiệp hoa tiêu hàng hải hiện đang hoạt động ổn định, nỗ lực phát triển và nâng cao hơn nữa chất lượng cung ứng dịch vụ, góp phần bảo đảm an toàn an ninh hàng hải, phòng ngừa ô nhiễm môi trường, đóng góp vào sự nghiệp chung phát triển ngành hàng hải và kinh tế biển Việt Nam. Từ những phân tích nêu trên, Hiệp hội Hoa tiêu Hàng hải Việt Nam trân trọng kiến nghị Bộ Xây dựng xem xét: (1) giữ nguyên và ổn định các quy định về tổ chức, chế độ, quyền và nghĩa vụ trong hoạt động hoa tiêu hàng hải theo tinh thần Bộ luật Hàng hải Việt Nam năm 2015, không thay đổi những quy định đã được thực tiễn kiểm nghiệm và hoạt động ổn định; (2) xem xét không quy định nội dung tại Khoản 2 Điều 140 của Dự thảo, đảm bảo nhất quán với Luật Giá 2023 và Luật Phí, Lệ phí 2015; (3) tiếp tục duy trì cơ chế giá dịch vụ hoa tiêu (giá tối đa do cơ quan nhà nước có thẩm quyền quy định) nhằm bảo đảm tính ổn định, minh bạch, phù hợp với thực tiễn hoạt động của các công ty hoa tiêu và sự phát triển bền vững của ngành hàng hải Việt Nam.</w:t>
            </w:r>
          </w:p>
        </w:tc>
        <w:tc>
          <w:tcPr>
            <w:tcW w:w="2793" w:type="dxa"/>
            <w:vAlign w:val="center"/>
          </w:tcPr>
          <w:p w14:paraId="24AFF90C" w14:textId="332BA93F"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chỉnh sửa.</w:t>
            </w:r>
          </w:p>
        </w:tc>
      </w:tr>
      <w:tr w:rsidR="00137B24" w:rsidRPr="000F1EC3" w14:paraId="396B426B" w14:textId="77777777" w:rsidTr="001B580E">
        <w:trPr>
          <w:gridAfter w:val="1"/>
          <w:wAfter w:w="8" w:type="dxa"/>
        </w:trPr>
        <w:tc>
          <w:tcPr>
            <w:tcW w:w="914" w:type="dxa"/>
            <w:vAlign w:val="center"/>
          </w:tcPr>
          <w:p w14:paraId="19DF7E29"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2DF7BA05"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153</w:t>
            </w:r>
          </w:p>
        </w:tc>
        <w:tc>
          <w:tcPr>
            <w:tcW w:w="1620" w:type="dxa"/>
            <w:vAlign w:val="center"/>
          </w:tcPr>
          <w:p w14:paraId="13A82477"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Trường ĐHGTVT TP HCM (văn bản số 260511-02/CV-UTH-MLP ngày 11/5/2026)</w:t>
            </w:r>
          </w:p>
        </w:tc>
        <w:tc>
          <w:tcPr>
            <w:tcW w:w="8872" w:type="dxa"/>
            <w:vAlign w:val="center"/>
          </w:tcPr>
          <w:p w14:paraId="348BAA1F"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Tại khoản 1 Điều 153 Dự thảo Bộ luật ghi nhận quyền giữ lại Phí, lệ phí hàng hải, đường thủy nội địa và giá dịch vụ tại cảng biển, cảng thủy nội địa để phát triển nguồn nhân lực tuy nhiên không ghi rõ là nguồn nhân lực nào. Trong trường hợp này, để tránh sự tràn lan trong công tác sử dụng nguồn nhân lực, cần ghi rõ đối tượng được hưởng cơ chế ưu tiên đào tạo ở đây gồm: nguồn nhân lực logistics, quản lý cảng, an toàn và an ninh cảng biển, luật hàng hải và thủy nội địa.</w:t>
            </w:r>
          </w:p>
        </w:tc>
        <w:tc>
          <w:tcPr>
            <w:tcW w:w="2793" w:type="dxa"/>
            <w:vAlign w:val="center"/>
          </w:tcPr>
          <w:p w14:paraId="6D0A2646" w14:textId="57932DEA"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 quy định theo hướng thống nhất cách diễn đạt với Luật Hàng không VN, Luật bảo đảm trật tự giao thông.</w:t>
            </w:r>
          </w:p>
        </w:tc>
      </w:tr>
      <w:tr w:rsidR="00137B24" w:rsidRPr="000F1EC3" w14:paraId="34F2B825" w14:textId="77777777" w:rsidTr="001B580E">
        <w:trPr>
          <w:gridAfter w:val="1"/>
          <w:wAfter w:w="8" w:type="dxa"/>
        </w:trPr>
        <w:tc>
          <w:tcPr>
            <w:tcW w:w="914" w:type="dxa"/>
            <w:vAlign w:val="center"/>
          </w:tcPr>
          <w:p w14:paraId="62DFC76E"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3DF2A885"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2137BCD3"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7253C191"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Tại Điều 153: Phí, lệ phí hàng hải, đường thủy nội địa và giá dịch vụ tại cảng biển, cảng thủy nội Đề xuất: Đề xuất nghiên cứu thêm về Luật giá để đảm bảo các biểu giá hiện hành không sai quy định, quản lý giá theo cơ chế thị trường có điều tiết; tránh áp khung giá cứng, thiếu linh hoạt, làm giảm khả năng tái đầu tư của doanh nghiệp cảng. Diễn giải: Luật Giả 2023 định hướng quản lý giá theo cơ chế thị trường có sự điều tiết của Nhà nước, khuyến khích cạnh tranh về giá và phân cấp quản lý giá. Do đó, Bộ luật mới cần hài hòa giữa kiểm soát lạm dụng vị trí thị trường và bảo đảm doanh nghiệp có nguồn lực đầu tư.</w:t>
            </w:r>
          </w:p>
        </w:tc>
        <w:tc>
          <w:tcPr>
            <w:tcW w:w="2793" w:type="dxa"/>
            <w:vAlign w:val="center"/>
          </w:tcPr>
          <w:p w14:paraId="1235CC7E" w14:textId="2851DB09"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chỉnh sửa.</w:t>
            </w:r>
          </w:p>
        </w:tc>
      </w:tr>
      <w:tr w:rsidR="00137B24" w:rsidRPr="000F1EC3" w14:paraId="702D9C94" w14:textId="77777777" w:rsidTr="001B580E">
        <w:trPr>
          <w:gridAfter w:val="1"/>
          <w:wAfter w:w="8" w:type="dxa"/>
        </w:trPr>
        <w:tc>
          <w:tcPr>
            <w:tcW w:w="914" w:type="dxa"/>
            <w:vAlign w:val="center"/>
          </w:tcPr>
          <w:p w14:paraId="5E8F2A06"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354C0611"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154</w:t>
            </w:r>
          </w:p>
        </w:tc>
        <w:tc>
          <w:tcPr>
            <w:tcW w:w="1620" w:type="dxa"/>
            <w:vAlign w:val="center"/>
          </w:tcPr>
          <w:p w14:paraId="40918481"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Hiệp hội Đại lý, Môi giới và Dịch vụ Hàng hải (văn bản số 009/CV VSB ngày 10/5/2026)</w:t>
            </w:r>
          </w:p>
        </w:tc>
        <w:tc>
          <w:tcPr>
            <w:tcW w:w="8872" w:type="dxa"/>
            <w:vAlign w:val="center"/>
          </w:tcPr>
          <w:p w14:paraId="299529E6"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Hiện nay, hơn 95% sản lượng hàng xuất nhập khẩu của Việt Nam do các hãng tàu nước ngoài đảm nhận. Theo Nghị định 146/2016/NĐ-CP, khi điều chỉnh phí và phụ phí, các hãng tàu nước ngoài chỉ cần niêm yết trước 15 ngày mà không phải giải trình yếu tổ cấu thành hay được sự chấp thuận của cơ quan quản lý. Thực tế cho thấy, mỗi khi giá dịch vụ bốc dỡ tại cảng biển được Nhà nước điều chinh tăng, các hãng tàu ngay lập tức tăng phí THC (Terminal Handling Charge) với mức tặng cao hơn gấp nhiều lần, áp đặt lên chủ hàng Việt Nam, gây thiệt hại cho doanh nghiệp xuất nhập khẩu, cảng biển và logistics trong nước. Ước tính hàng năm có trên 5 tỷ USD phụ phí từ thị trường Việt Nam đang thiếu cơ chế kiểm soát. Về mặt pháp lý, Điều 154 Dự thảo Bộ luật (kế thừa và cập nhật Điều 149 Bộ luật Hàng hải 2015) đã phân định rõ ba loại: (1) giá dịch vụ vận chuyển; (2) giá dịch vụ liên quan đến vận chuyển – là chi phí phát sinh khi hãng tàu cung cấp dịch vụ; và (3) phụ thu ngoài giá – là khoản thu khi có biến động khách quan trên thị trường như tắc nghên cảng, tăng giá nhiên liệu. Tuy nhiên, quy định hiện hành chưa xử lý được một thực tế: bản thân các hãng tàu định nghĩa THC là khoản chi phí họ trả lại cho cảng khi bốc dỡ hàng hóa – tức thuộc nhóm (2). Song trên thực tế, mức THC thu từ chủ hàng cao hơn rất nhiều lần so với mức cảng thu của hãng tàu; phần chênh lệch không phải chi phí thực phát sinh mà là lợi nhuận của hãng tàu. Như vậy, khoản THC thu từ chủ hàng không hoàn toàn thuộc nhóm (2) cũng không thuộc nhóm (3) – đây chính là vùng xám pháp lý cần được lấp đầy ngay trong Bộ luật. Hiệp hội đề xuất:</w:t>
            </w:r>
          </w:p>
          <w:p w14:paraId="5A7518A5"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Bổ sung khoản 5 vào Điều 154 với nội dung: Đối với phụ thu ngoài giá dịch vụ vận chuyển do hãng tàu nước ngoài thu từ chủ hàng tại cảng biển Việt Nam, bao gồm phí THC và các phụ thu tương tự, doanh nghiệp phải kê khai, công khai các yếu tố cấu thành và mức điều chỉnh tăng không được vượt quá mức biến động thực tế của chi phí bốc dỡ cảng biển do cơ quan nhà nước có thẩm quyền ban hành. Chính phủ quy định chi tiết cơ chế giám sát, kiểm soát và xử lý vi phạт. Ngoài ra, cần thiết lập cơ chế giám sát, công khai minh bạch phí và phụ phí hãng tàu nước ngoài trên hệ thống dữ liệu hàng hải quốc gia; nhằm bảo vệ quyền lợi chính đáng của doanh nghiệp xuất nhập khẩu, cảng biển và logistics Việt Nam.</w:t>
            </w:r>
          </w:p>
        </w:tc>
        <w:tc>
          <w:tcPr>
            <w:tcW w:w="2793" w:type="dxa"/>
            <w:vAlign w:val="center"/>
          </w:tcPr>
          <w:p w14:paraId="593F65B4" w14:textId="674CB73E"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lastRenderedPageBreak/>
              <w:t>Tiếp thu, chỉnh sửa.</w:t>
            </w:r>
          </w:p>
        </w:tc>
      </w:tr>
      <w:tr w:rsidR="00137B24" w:rsidRPr="000F1EC3" w14:paraId="1A54AB94" w14:textId="77777777" w:rsidTr="001B580E">
        <w:trPr>
          <w:gridAfter w:val="1"/>
          <w:wAfter w:w="8" w:type="dxa"/>
        </w:trPr>
        <w:tc>
          <w:tcPr>
            <w:tcW w:w="914" w:type="dxa"/>
            <w:vAlign w:val="center"/>
          </w:tcPr>
          <w:p w14:paraId="20DCD314"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529A5CBD"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06E49A87"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0B08D4AF"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Giá vận chuyển hàng hóa và giá dịch vụ liên quan đến vận chuyển hàng hóa, phụ thu ngoài giá: Đề xuất: Đề xuất kiểm tra lại các biểu giá dịch vụ hiện tại để đảm bảo không sai quy định.</w:t>
            </w:r>
          </w:p>
        </w:tc>
        <w:tc>
          <w:tcPr>
            <w:tcW w:w="2793" w:type="dxa"/>
            <w:vAlign w:val="center"/>
          </w:tcPr>
          <w:p w14:paraId="6CD3F46B" w14:textId="051EB09A"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chỉnh sửa.</w:t>
            </w:r>
          </w:p>
        </w:tc>
      </w:tr>
      <w:tr w:rsidR="00137B24" w:rsidRPr="000F1EC3" w14:paraId="56A67AA8" w14:textId="77777777" w:rsidTr="001B580E">
        <w:trPr>
          <w:gridAfter w:val="1"/>
          <w:wAfter w:w="8" w:type="dxa"/>
        </w:trPr>
        <w:tc>
          <w:tcPr>
            <w:tcW w:w="914" w:type="dxa"/>
            <w:vAlign w:val="center"/>
          </w:tcPr>
          <w:p w14:paraId="3D47063C"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68C711D9"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157</w:t>
            </w:r>
          </w:p>
        </w:tc>
        <w:tc>
          <w:tcPr>
            <w:tcW w:w="1620" w:type="dxa"/>
            <w:vAlign w:val="center"/>
          </w:tcPr>
          <w:p w14:paraId="38049ACF"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23B3BD09"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4167C0D6"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bổ sung đối tượng đối tượng tàu thuyền quân sự, tàu kiểm ngư thuộc Bộ Quốc phòng được hưởng đặc thù riêng do Chính phủ quy định trong thực hiện thủ tục đến, rời cảng biển, cảng, bến thủy nội địa</w:t>
            </w:r>
          </w:p>
        </w:tc>
        <w:tc>
          <w:tcPr>
            <w:tcW w:w="2793" w:type="dxa"/>
            <w:vAlign w:val="center"/>
          </w:tcPr>
          <w:p w14:paraId="445D9EEB" w14:textId="09100D3A"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mang tính quy định chi tiết, được tổng hợp, nghiên cứu trong quá trình hoàn thiện các văn bản hướng dẫn thực hiện.</w:t>
            </w:r>
          </w:p>
        </w:tc>
      </w:tr>
      <w:tr w:rsidR="00137B24" w:rsidRPr="000F1EC3" w14:paraId="4114E85D" w14:textId="77777777" w:rsidTr="001B580E">
        <w:trPr>
          <w:gridAfter w:val="1"/>
          <w:wAfter w:w="8" w:type="dxa"/>
        </w:trPr>
        <w:tc>
          <w:tcPr>
            <w:tcW w:w="914" w:type="dxa"/>
            <w:vAlign w:val="center"/>
          </w:tcPr>
          <w:p w14:paraId="4BBC5E57"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147C0B3F"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158</w:t>
            </w:r>
          </w:p>
        </w:tc>
        <w:tc>
          <w:tcPr>
            <w:tcW w:w="1620" w:type="dxa"/>
            <w:vAlign w:val="center"/>
          </w:tcPr>
          <w:p w14:paraId="75C828FB"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1AD90EC3"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1417FFC5" w14:textId="595FEE9C"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Khoản 1: Đề nghị bỏ cụm từ “an ninh” thay thế bằng cụm từ “biên phòng” và chính lý lại thành “Các cơ quan quản lý nhà nước chuyên ngành về hàng hải, đường thủy nội địa, biên phòng, kiểm dịch, hải quan, thuế, văn hóa, thể thao và du lịch, phòng chống cháy, nổ, bảo vệ môi trường và các cơ quan quản lý nhà nước khác thực hiện nhiệm vụ, quyền hạn tại biển, cảng, bến thủy nội địa theo quy định của pháp luật. Trong phạm vi nhiệm vụ, quyền hạn của mình, các cơ quan này có trách nhiệm phối hợp hoạt động và chịu sự điều hành trong việc phối hợp hoạt động và chịu sự điều hành trong việc phối hợp hoạt động của Giám đốc Cảng vụ hàng hải, Cảng vụ đường thủy nội địa”.</w:t>
            </w:r>
          </w:p>
          <w:p w14:paraId="77BBF37E"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Lý do: Căn cứ khoản 5 Điều 14 Luật Biên phòng Việt Nam quy định </w:t>
            </w:r>
            <w:r w:rsidRPr="000F1EC3">
              <w:rPr>
                <w:rFonts w:ascii="Times New Roman" w:hAnsi="Times New Roman"/>
                <w:i/>
                <w:sz w:val="24"/>
              </w:rPr>
              <w:t>“Kiểm soát xuất nhập cảnh tại cửa khẩu do Bộ Quốc phòng quản lý và kiểm soát qua lại biên giới theo quy định của pháp luật”</w:t>
            </w:r>
            <w:r w:rsidRPr="000F1EC3">
              <w:rPr>
                <w:rFonts w:ascii="Times New Roman" w:hAnsi="Times New Roman"/>
                <w:sz w:val="24"/>
              </w:rPr>
              <w:t>;</w:t>
            </w:r>
            <w:r w:rsidRPr="000F1EC3">
              <w:rPr>
                <w:rFonts w:ascii="Times New Roman" w:hAnsi="Times New Roman"/>
                <w:i/>
                <w:sz w:val="24"/>
              </w:rPr>
              <w:t xml:space="preserve"> </w:t>
            </w:r>
            <w:r w:rsidRPr="000F1EC3">
              <w:rPr>
                <w:rFonts w:ascii="Times New Roman" w:hAnsi="Times New Roman"/>
                <w:sz w:val="24"/>
              </w:rPr>
              <w:t xml:space="preserve">khoản 19 Điều 1 </w:t>
            </w:r>
            <w:r w:rsidRPr="000F1EC3">
              <w:rPr>
                <w:rFonts w:ascii="Times New Roman" w:hAnsi="Times New Roman"/>
                <w:iCs/>
                <w:sz w:val="24"/>
              </w:rPr>
              <w:t xml:space="preserve">Luật sửa đổi, bổ sung một số điều của </w:t>
            </w:r>
            <w:r w:rsidRPr="000F1EC3">
              <w:rPr>
                <w:rFonts w:ascii="Times New Roman" w:hAnsi="Times New Roman"/>
                <w:sz w:val="24"/>
              </w:rPr>
              <w:t xml:space="preserve">Luật </w:t>
            </w:r>
            <w:r w:rsidRPr="000F1EC3">
              <w:rPr>
                <w:rFonts w:ascii="Times New Roman" w:hAnsi="Times New Roman"/>
                <w:iCs/>
                <w:sz w:val="24"/>
              </w:rPr>
              <w:t>N</w:t>
            </w:r>
            <w:r w:rsidRPr="000F1EC3">
              <w:rPr>
                <w:rFonts w:ascii="Times New Roman" w:hAnsi="Times New Roman"/>
                <w:sz w:val="24"/>
              </w:rPr>
              <w:t>hập cảnh, xuất cảnh, quá cảnh, cư trú của người nước ngoài tại Việt Nam</w:t>
            </w:r>
            <w:r w:rsidRPr="000F1EC3">
              <w:rPr>
                <w:rFonts w:ascii="Times New Roman" w:hAnsi="Times New Roman"/>
                <w:iCs/>
                <w:sz w:val="24"/>
              </w:rPr>
              <w:t xml:space="preserve"> quy định</w:t>
            </w:r>
            <w:r w:rsidRPr="000F1EC3">
              <w:rPr>
                <w:rFonts w:ascii="Times New Roman" w:hAnsi="Times New Roman"/>
                <w:i/>
                <w:iCs/>
                <w:sz w:val="24"/>
              </w:rPr>
              <w:t xml:space="preserve"> </w:t>
            </w:r>
            <w:r w:rsidRPr="000F1EC3">
              <w:rPr>
                <w:rFonts w:ascii="Times New Roman" w:hAnsi="Times New Roman"/>
                <w:sz w:val="24"/>
              </w:rPr>
              <w:t>“</w:t>
            </w:r>
            <w:r w:rsidRPr="000F1EC3">
              <w:rPr>
                <w:rFonts w:ascii="Times New Roman" w:hAnsi="Times New Roman"/>
                <w:i/>
                <w:sz w:val="24"/>
              </w:rPr>
              <w:t xml:space="preserve">Kiểm soát nhập cảnh, xuất cảnh, quá cảnh tại các cửa khẩu do Bộ Quốc phòng quản lý theo quy định của </w:t>
            </w:r>
            <w:r w:rsidRPr="000F1EC3">
              <w:rPr>
                <w:rFonts w:ascii="Times New Roman" w:hAnsi="Times New Roman"/>
                <w:i/>
                <w:sz w:val="24"/>
              </w:rPr>
              <w:lastRenderedPageBreak/>
              <w:t>pháp luật...”</w:t>
            </w:r>
            <w:r w:rsidRPr="000F1EC3">
              <w:rPr>
                <w:rFonts w:ascii="Times New Roman" w:hAnsi="Times New Roman"/>
                <w:sz w:val="24"/>
              </w:rPr>
              <w:t xml:space="preserve">; hiện nay các cơ quan quản lý nhà nước chuyên ngành tại cảng gồm: </w:t>
            </w:r>
            <w:r w:rsidRPr="000F1EC3">
              <w:rPr>
                <w:rFonts w:ascii="Times New Roman" w:hAnsi="Times New Roman"/>
                <w:i/>
                <w:sz w:val="24"/>
              </w:rPr>
              <w:t xml:space="preserve">“Cảng vụ hàng hải, Hải quan cửa khẩu, </w:t>
            </w:r>
            <w:r w:rsidRPr="000F1EC3">
              <w:rPr>
                <w:rFonts w:ascii="Times New Roman" w:hAnsi="Times New Roman"/>
                <w:b/>
                <w:i/>
                <w:sz w:val="24"/>
              </w:rPr>
              <w:t>Biên phòng cửa khẩu cảng</w:t>
            </w:r>
            <w:r w:rsidRPr="000F1EC3">
              <w:rPr>
                <w:rFonts w:ascii="Times New Roman" w:hAnsi="Times New Roman"/>
                <w:i/>
                <w:sz w:val="24"/>
              </w:rPr>
              <w:t>, Kiểm dịch y tế, Kiểm dịch động vật, Kiểm dịch thực vật”</w:t>
            </w:r>
            <w:r w:rsidRPr="000F1EC3">
              <w:rPr>
                <w:rFonts w:ascii="Times New Roman" w:hAnsi="Times New Roman"/>
                <w:sz w:val="24"/>
              </w:rPr>
              <w:t xml:space="preserve"> đã được quy định tại Nghị định số 58/NĐ-CP ngày 10/5/2017 của Chính phủ quy định chi tiết một số điều của bộ luật hàng hải Việt Nam về quản lý hoạt động hàng hải, Nghị định số 77/2017/NĐ-CP ngày 03/07/2017 của Chính phủ quy định về quản lý, bảo vệ an ninh, trật tự tại cửa khẩu cảng</w:t>
            </w:r>
          </w:p>
        </w:tc>
        <w:tc>
          <w:tcPr>
            <w:tcW w:w="2793" w:type="dxa"/>
            <w:vAlign w:val="center"/>
          </w:tcPr>
          <w:p w14:paraId="00791B31" w14:textId="08DDB4F0"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Nội dung này đã được biên tập theo hướng không liệt kê chi tiết các cơ quan, đơn vị.</w:t>
            </w:r>
          </w:p>
        </w:tc>
      </w:tr>
      <w:tr w:rsidR="00137B24" w:rsidRPr="000F1EC3" w14:paraId="4C76DDAD" w14:textId="77777777" w:rsidTr="001B580E">
        <w:trPr>
          <w:gridAfter w:val="1"/>
          <w:wAfter w:w="8" w:type="dxa"/>
        </w:trPr>
        <w:tc>
          <w:tcPr>
            <w:tcW w:w="914" w:type="dxa"/>
            <w:vAlign w:val="center"/>
          </w:tcPr>
          <w:p w14:paraId="5A230F27"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0E092888"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1064A953"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00C0864F"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xuất: Đề nghị bổ sung nguyên tắc kiểm tra, giám sát tại cảng không làm gián đoạn khai thác, không gây phát sinh chi phí lưu tàu, lưu bãi không cần thiết. Diễn giải: Dự thảo quy định Cảng vụ có quyền yêu cầu cơ quan chuyên ngành thông báo kết quả thủ tục, phối hợp xử lý vướng mắc; các cơ quan chuyên ngành có trách nhiệm phổi hợp giải quyết thủ tục tàu, hàng, hành khách, thuyền viên. Cần thêm nguyên tắc về thời hạn, đầu mối và trách nhiệm nếu chậm trễ.</w:t>
            </w:r>
          </w:p>
        </w:tc>
        <w:tc>
          <w:tcPr>
            <w:tcW w:w="2793" w:type="dxa"/>
            <w:vAlign w:val="center"/>
          </w:tcPr>
          <w:p w14:paraId="74ED3E2B" w14:textId="0A9540E3"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Nội dung mang tính quy định chi tiết, được tổng hợp, nghiên cứu trong quá trình hoàn thiện các văn bản hướng dẫn thực hiện.</w:t>
            </w:r>
          </w:p>
        </w:tc>
      </w:tr>
      <w:tr w:rsidR="00137B24" w:rsidRPr="000F1EC3" w14:paraId="0C1A66EB" w14:textId="77777777" w:rsidTr="001B580E">
        <w:trPr>
          <w:gridAfter w:val="1"/>
          <w:wAfter w:w="8" w:type="dxa"/>
        </w:trPr>
        <w:tc>
          <w:tcPr>
            <w:tcW w:w="914" w:type="dxa"/>
            <w:vAlign w:val="center"/>
          </w:tcPr>
          <w:p w14:paraId="07230400"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655D38C8"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4458471E"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 xml:space="preserve">ĐBQH Ninh Bình (văn bản số </w:t>
            </w:r>
            <w:r w:rsidRPr="000F1EC3">
              <w:rPr>
                <w:rFonts w:ascii="Times New Roman" w:hAnsi="Times New Roman"/>
                <w:b/>
                <w:sz w:val="24"/>
              </w:rPr>
              <w:t>58/ĐDBQH-VP ngày 11/5/2026</w:t>
            </w:r>
            <w:r w:rsidRPr="000F1EC3">
              <w:rPr>
                <w:rFonts w:ascii="Times New Roman" w:hAnsi="Times New Roman"/>
                <w:b/>
                <w:bCs/>
                <w:sz w:val="24"/>
              </w:rPr>
              <w:t>)</w:t>
            </w:r>
          </w:p>
        </w:tc>
        <w:tc>
          <w:tcPr>
            <w:tcW w:w="8872" w:type="dxa"/>
            <w:vAlign w:val="center"/>
          </w:tcPr>
          <w:p w14:paraId="09AD2A6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Tại điểm d khoản 2 Điều 158, dự thảo quy định Cảng vụ có quyền kiến nghị Chủ tịch UBND cấp tỉnh giải quyết các vấn đề phát sinh thuộc thẩm quyền của địa phương. Tuy nhiên, quy định này hiện còn mang tính khái quát, chưa làm rõ phạm vi và trách nhiệm của UBND cấp tỉnh trong công tác quản lý nhà nước đối với cảng, bến thủy nội địa trên địa bàn.</w:t>
            </w:r>
          </w:p>
          <w:p w14:paraId="5340AFD2"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Thực tế, hoạt động của cảng, bến thủy nội địa liên quan trực tiếp đến công tác quản lý đất đai, trật tự xây dựng, bảo vệ môi trường, bảo đảm an ninh, trật tự và an toàn giao thông đường thủy tại địa phương. Do đó, nếu chỉ quy định theo hướng Cảng vụ “kiến nghị” mà chưa xác định rõ trách nhiệm cụ thể của chính quyền địa phương dễ dẫn đến tình trạng chồng chéo, đùn đẩy trách nhiệm hoặc thiếu thống nhất trong quá trình tổ chức thực hiện.</w:t>
            </w:r>
          </w:p>
          <w:p w14:paraId="73A5F58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cơ quan soạn thảo nghiên cứu bổ sung quy định theo hướng xác định rõ trách nhiệm của UBND cấp tỉnh trong việc phối hợp với các cơ quan quản lý nhà nước chuyên ngành thuộc trung ương; chỉ đạo các cơ quan chức năng tại địa phương trong công tác kiểm tra, xử lý vi phạm; bảo đảm trật tự, an toàn giao thông đường thủy nội địa; quản lý hoạt động của cảng, bến thủy nội địa trên địa bàn theo thẩm quyền.</w:t>
            </w:r>
          </w:p>
        </w:tc>
        <w:tc>
          <w:tcPr>
            <w:tcW w:w="2793" w:type="dxa"/>
            <w:vAlign w:val="center"/>
          </w:tcPr>
          <w:p w14:paraId="40C97857" w14:textId="66F5E70E"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dự thỏa bãi bỏ quy định này.</w:t>
            </w:r>
          </w:p>
        </w:tc>
      </w:tr>
      <w:tr w:rsidR="00137B24" w:rsidRPr="000F1EC3" w14:paraId="20065C43" w14:textId="77777777" w:rsidTr="001B580E">
        <w:trPr>
          <w:gridAfter w:val="1"/>
          <w:wAfter w:w="8" w:type="dxa"/>
        </w:trPr>
        <w:tc>
          <w:tcPr>
            <w:tcW w:w="914" w:type="dxa"/>
            <w:vAlign w:val="center"/>
          </w:tcPr>
          <w:p w14:paraId="6BEAF985"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30734D57"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526ADD58"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 xml:space="preserve">Hiệp hội Cảng biển Việt Nam (văn bản số 84/VPA-BC </w:t>
            </w:r>
            <w:r w:rsidRPr="000F1EC3">
              <w:rPr>
                <w:rFonts w:ascii="Times New Roman" w:hAnsi="Times New Roman"/>
                <w:b/>
                <w:bCs/>
                <w:sz w:val="24"/>
              </w:rPr>
              <w:lastRenderedPageBreak/>
              <w:t>ngày 11/5/2026)</w:t>
            </w:r>
          </w:p>
        </w:tc>
        <w:tc>
          <w:tcPr>
            <w:tcW w:w="8872" w:type="dxa"/>
            <w:vAlign w:val="center"/>
          </w:tcPr>
          <w:p w14:paraId="68BA5188"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Đề xuất: Đồng thuận phân cấp, nhưng đề nghị xác định rõ đầu mối chịu trách nhiệm cuối cùng, thời hạn xử lý, cơ chế phối hợp giữa Trung ương – địa phương – Cảng vụ. Diễn giải: Báo cáo đánh giá tác động nêu dự thảo chuyển mạnh từ mô hình quản lý tập trung sang phân cấp, phân quyền gắn với kiểm soát, nhằm cải cách thủ tục và tạo thuận lợi cho tổ chức, cá nhân. Nếu không rõ trách nhiệm, phân cấp có thể biến thành nhiều tầng xin ý kiến.</w:t>
            </w:r>
          </w:p>
        </w:tc>
        <w:tc>
          <w:tcPr>
            <w:tcW w:w="2793" w:type="dxa"/>
            <w:vAlign w:val="center"/>
          </w:tcPr>
          <w:p w14:paraId="4ED6C312" w14:textId="06D62679"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tổng hợp, nghiên cứu quy đinh chi tiết tại các văn bản hướng dẫn thực hiện.</w:t>
            </w:r>
          </w:p>
        </w:tc>
      </w:tr>
      <w:tr w:rsidR="00137B24" w:rsidRPr="000F1EC3" w14:paraId="51D017AB" w14:textId="77777777" w:rsidTr="001B580E">
        <w:trPr>
          <w:gridAfter w:val="1"/>
          <w:wAfter w:w="8" w:type="dxa"/>
        </w:trPr>
        <w:tc>
          <w:tcPr>
            <w:tcW w:w="914" w:type="dxa"/>
            <w:vMerge w:val="restart"/>
            <w:vAlign w:val="center"/>
          </w:tcPr>
          <w:p w14:paraId="2F0E3E33"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5074E56C"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159</w:t>
            </w:r>
          </w:p>
        </w:tc>
        <w:tc>
          <w:tcPr>
            <w:tcW w:w="1620" w:type="dxa"/>
            <w:vAlign w:val="center"/>
          </w:tcPr>
          <w:p w14:paraId="2F92313C"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Thanh tra Chính phủ</w:t>
            </w:r>
          </w:p>
          <w:p w14:paraId="16778BD6"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1317/ TTCP- C.VII ngày 07/5/2026)</w:t>
            </w:r>
          </w:p>
        </w:tc>
        <w:tc>
          <w:tcPr>
            <w:tcW w:w="8872" w:type="dxa"/>
            <w:vAlign w:val="center"/>
          </w:tcPr>
          <w:p w14:paraId="033C5DB3"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rà soát cơ sở, tính cần thiết của các quy định liên quan đến Sĩ quan kiểm tra tàu thuyền (tàu biển và tàu sông) để đảm bảo phù hợp với Điều ước quốc tế mà Việt Nam là thành viên và chức năng, nhiệm vụ của cơ quan quản lý nhà nước chuyên ngành về hàng hải, đường thủy nội địa, hạn chế tối đa việc phát sinh một lực lượng mới</w:t>
            </w:r>
          </w:p>
        </w:tc>
        <w:tc>
          <w:tcPr>
            <w:tcW w:w="2793" w:type="dxa"/>
            <w:vAlign w:val="center"/>
          </w:tcPr>
          <w:p w14:paraId="3DE33E0C" w14:textId="52C4CA12"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rà soát</w:t>
            </w:r>
          </w:p>
        </w:tc>
      </w:tr>
      <w:tr w:rsidR="00137B24" w:rsidRPr="000F1EC3" w14:paraId="7DFC5B41" w14:textId="77777777" w:rsidTr="001B580E">
        <w:trPr>
          <w:gridAfter w:val="1"/>
          <w:wAfter w:w="8" w:type="dxa"/>
        </w:trPr>
        <w:tc>
          <w:tcPr>
            <w:tcW w:w="914" w:type="dxa"/>
            <w:vMerge/>
            <w:vAlign w:val="center"/>
          </w:tcPr>
          <w:p w14:paraId="3728ECA3"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ign w:val="center"/>
          </w:tcPr>
          <w:p w14:paraId="380B0A2C"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1A921579"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Bộ Nội vụ (văn bản số 4525/BNV-PC ngày 12/5/2025)</w:t>
            </w:r>
          </w:p>
        </w:tc>
        <w:tc>
          <w:tcPr>
            <w:tcW w:w="8872" w:type="dxa"/>
            <w:vAlign w:val="center"/>
          </w:tcPr>
          <w:p w14:paraId="714E947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rà soát lại Khoản 2 Điều 159 và giải trình rõ lý do quy định “Việc kiểm tra quy định tại khoản 1 Điều này phải được Sĩ quan kiểm tra tàu thuyền tiến hành theo đúng pháp luật và không được làm ảnh hưởng đến khả năng an toàn, an ninh, các điều kiện về lao động, phòng chống cháy, nổ và bảo vệ môi trường của tàu biển và tàu sông”. Nếu quy định như dự thảo hiện nay thì chỉ “Sĩ quan kiểm tra tàu thuyền” mới được tiến hành “kiểm tra về an toàn, an ninh, lao động, phòng chống cháy, nổ và bảo vệ môi trường”, còn các chủ thể kiểm tra khác theo quy định của pháp luật thì có được kiểm tra không?</w:t>
            </w:r>
          </w:p>
        </w:tc>
        <w:tc>
          <w:tcPr>
            <w:tcW w:w="2793" w:type="dxa"/>
            <w:vAlign w:val="center"/>
          </w:tcPr>
          <w:p w14:paraId="6EA2FE22" w14:textId="728B631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rà soát</w:t>
            </w:r>
          </w:p>
        </w:tc>
      </w:tr>
      <w:tr w:rsidR="00137B24" w:rsidRPr="000F1EC3" w14:paraId="7933ABE7" w14:textId="77777777" w:rsidTr="001B580E">
        <w:trPr>
          <w:gridAfter w:val="1"/>
          <w:wAfter w:w="8" w:type="dxa"/>
        </w:trPr>
        <w:tc>
          <w:tcPr>
            <w:tcW w:w="914" w:type="dxa"/>
            <w:vAlign w:val="center"/>
          </w:tcPr>
          <w:p w14:paraId="5545C506"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70A44D1F" w14:textId="77777777" w:rsidR="00137B24" w:rsidRPr="00845D33" w:rsidRDefault="00137B24" w:rsidP="00137B24">
            <w:pPr>
              <w:spacing w:before="20" w:after="20"/>
              <w:jc w:val="both"/>
              <w:rPr>
                <w:rFonts w:ascii="Times New Roman" w:hAnsi="Times New Roman"/>
                <w:b/>
                <w:bCs/>
                <w:sz w:val="24"/>
              </w:rPr>
            </w:pPr>
            <w:r w:rsidRPr="00845D33">
              <w:rPr>
                <w:rFonts w:ascii="Times New Roman" w:hAnsi="Times New Roman"/>
                <w:b/>
                <w:sz w:val="24"/>
              </w:rPr>
              <w:t>Mục 3 Chương VII</w:t>
            </w:r>
          </w:p>
        </w:tc>
        <w:tc>
          <w:tcPr>
            <w:tcW w:w="1620" w:type="dxa"/>
            <w:vAlign w:val="center"/>
          </w:tcPr>
          <w:p w14:paraId="6A2F8536"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3C1658A3"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40532DE5"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rà soát, lựa chọn sử dụng các thuật ngữ “tàu biển”, “tàu”, “tàu, thuyền” để đảm bảo phù hợp, thống nhất, đồng thời phân biệt với thuật ngữ “tàu sông” trong dự thảo Bộ luật</w:t>
            </w:r>
          </w:p>
        </w:tc>
        <w:tc>
          <w:tcPr>
            <w:tcW w:w="2793" w:type="dxa"/>
            <w:vAlign w:val="center"/>
          </w:tcPr>
          <w:p w14:paraId="52148B5F" w14:textId="56001F98"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w:t>
            </w:r>
          </w:p>
        </w:tc>
      </w:tr>
      <w:tr w:rsidR="00137B24" w:rsidRPr="000F1EC3" w14:paraId="558B57AD" w14:textId="77777777" w:rsidTr="001B580E">
        <w:trPr>
          <w:gridAfter w:val="1"/>
          <w:wAfter w:w="8" w:type="dxa"/>
        </w:trPr>
        <w:tc>
          <w:tcPr>
            <w:tcW w:w="914" w:type="dxa"/>
            <w:vMerge w:val="restart"/>
            <w:vAlign w:val="center"/>
          </w:tcPr>
          <w:p w14:paraId="4E56A871"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6D88C3B3"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Chương XII</w:t>
            </w:r>
          </w:p>
        </w:tc>
        <w:tc>
          <w:tcPr>
            <w:tcW w:w="1620" w:type="dxa"/>
            <w:vAlign w:val="center"/>
          </w:tcPr>
          <w:p w14:paraId="32C8A343"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ĐBQH Cao Bằng (văn bản số 64/ĐBQH-VP ngày 12/5/2026)</w:t>
            </w:r>
          </w:p>
        </w:tc>
        <w:tc>
          <w:tcPr>
            <w:tcW w:w="8872" w:type="dxa"/>
            <w:vAlign w:val="center"/>
          </w:tcPr>
          <w:p w14:paraId="562C1748"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Về thẩm quyền quản lý nhà nước tại vùng nước giao thoa (Chương XII) Đề nghị quy định rõ cơ chế "Cảng vụ chủ trì" duy nhất thực hiện quản lý nhà nước chuyên ngành đối với toàn bộ hoạt động tàu thuyền vào, rời vùng nước cảng biển, không phân biệt loại bến cảng hay bến thủy nội địa. Lý do: Hiện nay đang tồn tại sự chồng chéo giữa Cảng vụ hàng hải và Cảng vụ đường thủy nội địa tại cùng một khu vực vùng nước cảng biển. Việc một tàu, thuyền phải chịu sự kiểm tra của hai cơ quan làm gia tăng thủ tục hành chính và chi phí tuân thủ.</w:t>
            </w:r>
          </w:p>
        </w:tc>
        <w:tc>
          <w:tcPr>
            <w:tcW w:w="2793" w:type="dxa"/>
            <w:vAlign w:val="center"/>
          </w:tcPr>
          <w:p w14:paraId="74860C1B" w14:textId="5DC8EE65"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chỉnh sửa</w:t>
            </w:r>
          </w:p>
        </w:tc>
      </w:tr>
      <w:tr w:rsidR="00137B24" w:rsidRPr="000F1EC3" w14:paraId="313C41C6" w14:textId="77777777" w:rsidTr="001B580E">
        <w:trPr>
          <w:gridAfter w:val="1"/>
          <w:wAfter w:w="8" w:type="dxa"/>
        </w:trPr>
        <w:tc>
          <w:tcPr>
            <w:tcW w:w="914" w:type="dxa"/>
            <w:vMerge/>
            <w:vAlign w:val="center"/>
          </w:tcPr>
          <w:p w14:paraId="5DAF6907"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2D5D21F0"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68EBB958"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ĐBQH Tây Ninh (văn bản số 106/DBQH-</w:t>
            </w:r>
            <w:r w:rsidRPr="000F1EC3">
              <w:rPr>
                <w:rFonts w:ascii="Times New Roman" w:hAnsi="Times New Roman"/>
                <w:b/>
                <w:bCs/>
                <w:sz w:val="24"/>
              </w:rPr>
              <w:lastRenderedPageBreak/>
              <w:t>CTQH ngày 13/5/2026)</w:t>
            </w:r>
          </w:p>
        </w:tc>
        <w:tc>
          <w:tcPr>
            <w:tcW w:w="8872" w:type="dxa"/>
            <w:vAlign w:val="center"/>
          </w:tcPr>
          <w:p w14:paraId="363257E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Đề nghị cần quy định rõ hơn về cơ chế quản lý “một cửa” đầu mối tại các vùng nước cảng biển có bến thủy nội địa hoạt động. Lý do: Thực tiễn hiện nay vẫn tồn tại tình trạng một doanh nghiệp phải chịu sự kiểm tra của cả Cảng vụ hàng hải và Cảng vụ đường thủy nội địa, gây lãng phí thời gian và chi phí. Do đó, cần quy định cụ thể một cơ quan chủ trì để giảm bớt thủ tục hành chính cho doanh nghiệp.</w:t>
            </w:r>
          </w:p>
        </w:tc>
        <w:tc>
          <w:tcPr>
            <w:tcW w:w="2793" w:type="dxa"/>
            <w:vAlign w:val="center"/>
          </w:tcPr>
          <w:p w14:paraId="4463518C" w14:textId="67DC23CD"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Nội dung mang tính quy định chi tiết, được tổng hợp, nghiên cứu trong quá trình hoàn thiện các văn bản hướng dẫn thực hiện.</w:t>
            </w:r>
          </w:p>
        </w:tc>
      </w:tr>
      <w:tr w:rsidR="00137B24" w:rsidRPr="000F1EC3" w14:paraId="4A8EC3CA" w14:textId="77777777" w:rsidTr="001B580E">
        <w:trPr>
          <w:gridAfter w:val="1"/>
          <w:wAfter w:w="8" w:type="dxa"/>
        </w:trPr>
        <w:tc>
          <w:tcPr>
            <w:tcW w:w="914" w:type="dxa"/>
            <w:vAlign w:val="center"/>
          </w:tcPr>
          <w:p w14:paraId="6FB42191"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6C78B34E"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Mục 2 Chương XIII</w:t>
            </w:r>
          </w:p>
        </w:tc>
        <w:tc>
          <w:tcPr>
            <w:tcW w:w="1620" w:type="dxa"/>
            <w:vAlign w:val="center"/>
          </w:tcPr>
          <w:p w14:paraId="6D83AC72"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Thanh tra Chính phủ</w:t>
            </w:r>
          </w:p>
          <w:p w14:paraId="6F7B8E04"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1317/ TTCP- C.VII ngày 07/5/2026)</w:t>
            </w:r>
          </w:p>
        </w:tc>
        <w:tc>
          <w:tcPr>
            <w:tcW w:w="8872" w:type="dxa"/>
            <w:vAlign w:val="center"/>
          </w:tcPr>
          <w:p w14:paraId="7204325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rà soát tiêu đề của mục (an ninh cảng biển) để phù hợp với nội hàm của Điều 161 (quy định cả về an ninh cảng biển và cảng thủy nội địa).</w:t>
            </w:r>
          </w:p>
        </w:tc>
        <w:tc>
          <w:tcPr>
            <w:tcW w:w="2793" w:type="dxa"/>
            <w:vAlign w:val="center"/>
          </w:tcPr>
          <w:p w14:paraId="260C8D20" w14:textId="72834883"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chỉnh sửa</w:t>
            </w:r>
          </w:p>
        </w:tc>
      </w:tr>
      <w:tr w:rsidR="00137B24" w:rsidRPr="000F1EC3" w14:paraId="77086D48" w14:textId="77777777" w:rsidTr="001B580E">
        <w:trPr>
          <w:gridAfter w:val="1"/>
          <w:wAfter w:w="8" w:type="dxa"/>
        </w:trPr>
        <w:tc>
          <w:tcPr>
            <w:tcW w:w="914" w:type="dxa"/>
            <w:vAlign w:val="center"/>
          </w:tcPr>
          <w:p w14:paraId="61F9FAF1"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4E1CD23B" w14:textId="77777777" w:rsidR="00137B24" w:rsidRPr="00845D33" w:rsidRDefault="00137B24" w:rsidP="00845D33">
            <w:pPr>
              <w:spacing w:before="20" w:after="20"/>
              <w:rPr>
                <w:rFonts w:ascii="Times New Roman" w:hAnsi="Times New Roman"/>
                <w:b/>
                <w:sz w:val="24"/>
              </w:rPr>
            </w:pPr>
            <w:r w:rsidRPr="00845D33">
              <w:rPr>
                <w:rFonts w:ascii="Times New Roman" w:hAnsi="Times New Roman"/>
                <w:b/>
                <w:sz w:val="24"/>
              </w:rPr>
              <w:t>Điều chuyển tiếp và đồng bộ pháp luật</w:t>
            </w:r>
          </w:p>
        </w:tc>
        <w:tc>
          <w:tcPr>
            <w:tcW w:w="1620" w:type="dxa"/>
            <w:vAlign w:val="center"/>
          </w:tcPr>
          <w:p w14:paraId="42BA03BD" w14:textId="77777777" w:rsidR="00137B24" w:rsidRPr="000F1EC3" w:rsidRDefault="00137B24" w:rsidP="00137B24">
            <w:pPr>
              <w:shd w:val="clear" w:color="auto" w:fill="FFFFFF"/>
              <w:spacing w:before="20" w:after="20"/>
              <w:jc w:val="center"/>
              <w:rPr>
                <w:rFonts w:ascii="Times New Roman" w:hAnsi="Times New Roman"/>
                <w:b/>
                <w:bCs/>
                <w:sz w:val="24"/>
              </w:rPr>
            </w:pPr>
            <w:r w:rsidRPr="000F1EC3">
              <w:rPr>
                <w:rFonts w:ascii="Times New Roman" w:hAnsi="Times New Roman"/>
                <w:b/>
                <w:bCs/>
                <w:sz w:val="24"/>
              </w:rPr>
              <w:t>Sở Xây dựng Quảng Ninh</w:t>
            </w:r>
          </w:p>
          <w:p w14:paraId="752E4F7C"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(Văn bản số 4110/SXD-QLKCHT&amp;ATGT ngày 08/5/2026)</w:t>
            </w:r>
          </w:p>
        </w:tc>
        <w:tc>
          <w:tcPr>
            <w:tcW w:w="8872" w:type="dxa"/>
            <w:vAlign w:val="center"/>
          </w:tcPr>
          <w:p w14:paraId="0CAC427C"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quy định rõ lộ trình chuyển tiếp từ các luật hiện hành sang Bộ luật mới, bảo đảm tính liên tục, tránh khoảng trống pháp lý đối với các dự án cảng, bến đang triển khai</w:t>
            </w:r>
          </w:p>
        </w:tc>
        <w:tc>
          <w:tcPr>
            <w:tcW w:w="2793" w:type="dxa"/>
            <w:vAlign w:val="center"/>
          </w:tcPr>
          <w:p w14:paraId="477F3B08" w14:textId="3181BC15"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w:t>
            </w:r>
          </w:p>
        </w:tc>
      </w:tr>
      <w:tr w:rsidR="00137B24" w:rsidRPr="000F1EC3" w14:paraId="63E729D2" w14:textId="77777777" w:rsidTr="001B580E">
        <w:trPr>
          <w:gridAfter w:val="1"/>
          <w:wAfter w:w="8" w:type="dxa"/>
        </w:trPr>
        <w:tc>
          <w:tcPr>
            <w:tcW w:w="914" w:type="dxa"/>
            <w:vMerge w:val="restart"/>
            <w:vAlign w:val="center"/>
          </w:tcPr>
          <w:p w14:paraId="19555905"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7A44E403" w14:textId="77777777" w:rsidR="00137B24" w:rsidRPr="00845D33" w:rsidRDefault="00137B24" w:rsidP="00137B24">
            <w:pPr>
              <w:spacing w:before="20" w:after="20"/>
              <w:jc w:val="both"/>
              <w:rPr>
                <w:rFonts w:ascii="Times New Roman" w:hAnsi="Times New Roman"/>
                <w:b/>
                <w:bCs/>
                <w:sz w:val="24"/>
              </w:rPr>
            </w:pPr>
            <w:r w:rsidRPr="00845D33">
              <w:rPr>
                <w:rFonts w:ascii="Times New Roman" w:hAnsi="Times New Roman"/>
                <w:b/>
                <w:sz w:val="24"/>
              </w:rPr>
              <w:t>Chương XV</w:t>
            </w:r>
          </w:p>
        </w:tc>
        <w:tc>
          <w:tcPr>
            <w:tcW w:w="1620" w:type="dxa"/>
            <w:vAlign w:val="center"/>
          </w:tcPr>
          <w:p w14:paraId="3FEC4711"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666F3A4E"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sz w:val="24"/>
              </w:rPr>
              <w:t>(Văn bản số 3107/BQP-PC ngày 11/5/2026</w:t>
            </w:r>
          </w:p>
        </w:tc>
        <w:tc>
          <w:tcPr>
            <w:tcW w:w="8872" w:type="dxa"/>
            <w:vAlign w:val="center"/>
          </w:tcPr>
          <w:p w14:paraId="541CA816"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Đề nghị điều chỉnh tên thành </w:t>
            </w:r>
            <w:r w:rsidRPr="000F1EC3">
              <w:rPr>
                <w:rFonts w:ascii="Times New Roman" w:hAnsi="Times New Roman"/>
                <w:i/>
                <w:sz w:val="24"/>
              </w:rPr>
              <w:t xml:space="preserve">“Tìm kiếm cứu nạn, cứu hộ tàu thuyền, ứng phó sự cố, </w:t>
            </w:r>
            <w:r w:rsidRPr="000F1EC3">
              <w:rPr>
                <w:rFonts w:ascii="Times New Roman" w:hAnsi="Times New Roman"/>
                <w:b/>
                <w:i/>
                <w:sz w:val="24"/>
              </w:rPr>
              <w:t>thảm họa</w:t>
            </w:r>
            <w:r w:rsidRPr="000F1EC3">
              <w:rPr>
                <w:rFonts w:ascii="Times New Roman" w:hAnsi="Times New Roman"/>
                <w:i/>
                <w:sz w:val="24"/>
              </w:rPr>
              <w:t xml:space="preserve"> trong hoạt động hàng hải và giao thông đường thủy nội địa”</w:t>
            </w:r>
            <w:r w:rsidRPr="000F1EC3">
              <w:rPr>
                <w:rFonts w:ascii="Times New Roman" w:hAnsi="Times New Roman"/>
                <w:sz w:val="24"/>
              </w:rPr>
              <w:t xml:space="preserve"> để bảo đảm tính bao quát của nội hàm các quy định ở Chương này</w:t>
            </w:r>
          </w:p>
        </w:tc>
        <w:tc>
          <w:tcPr>
            <w:tcW w:w="2793" w:type="dxa"/>
            <w:vAlign w:val="center"/>
          </w:tcPr>
          <w:p w14:paraId="6A694774" w14:textId="324C9521"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giữ nguyên như dự thảo để bảo đảm tính khả thi.</w:t>
            </w:r>
          </w:p>
        </w:tc>
      </w:tr>
      <w:tr w:rsidR="00137B24" w:rsidRPr="000F1EC3" w14:paraId="5826AE94" w14:textId="77777777" w:rsidTr="001B580E">
        <w:trPr>
          <w:gridAfter w:val="1"/>
          <w:wAfter w:w="8" w:type="dxa"/>
        </w:trPr>
        <w:tc>
          <w:tcPr>
            <w:tcW w:w="914" w:type="dxa"/>
            <w:vMerge/>
            <w:vAlign w:val="center"/>
          </w:tcPr>
          <w:p w14:paraId="363C40B8"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Merge/>
            <w:vAlign w:val="center"/>
          </w:tcPr>
          <w:p w14:paraId="408BAE1B" w14:textId="77777777" w:rsidR="00137B24" w:rsidRPr="000F1EC3" w:rsidRDefault="00137B24" w:rsidP="00137B24">
            <w:pPr>
              <w:spacing w:before="20" w:after="20"/>
              <w:jc w:val="both"/>
              <w:rPr>
                <w:rFonts w:ascii="Times New Roman" w:hAnsi="Times New Roman"/>
                <w:sz w:val="24"/>
              </w:rPr>
            </w:pPr>
          </w:p>
        </w:tc>
        <w:tc>
          <w:tcPr>
            <w:tcW w:w="1620" w:type="dxa"/>
            <w:vAlign w:val="center"/>
          </w:tcPr>
          <w:p w14:paraId="49A324CA"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Bộ NNMT (văn bản số 4798/BNNMT-PC ngày 13/5/2026)</w:t>
            </w:r>
          </w:p>
        </w:tc>
        <w:tc>
          <w:tcPr>
            <w:tcW w:w="8872" w:type="dxa"/>
            <w:vAlign w:val="center"/>
          </w:tcPr>
          <w:p w14:paraId="12C73134" w14:textId="77777777" w:rsidR="00137B24" w:rsidRPr="000F1EC3" w:rsidRDefault="00137B24" w:rsidP="00137B24">
            <w:pPr>
              <w:tabs>
                <w:tab w:val="left" w:pos="851"/>
              </w:tabs>
              <w:spacing w:before="20" w:after="20"/>
              <w:jc w:val="both"/>
              <w:rPr>
                <w:rFonts w:ascii="Times New Roman" w:hAnsi="Times New Roman"/>
                <w:spacing w:val="-2"/>
                <w:sz w:val="24"/>
              </w:rPr>
            </w:pPr>
            <w:r w:rsidRPr="000F1EC3">
              <w:rPr>
                <w:rFonts w:ascii="Times New Roman" w:hAnsi="Times New Roman"/>
                <w:spacing w:val="-2"/>
                <w:sz w:val="24"/>
              </w:rPr>
              <w:t>Đề nghị xem xét điều chỉnh tên mục để phù hợp quy định của Luật Phòng, chống thiên tai như sau: “</w:t>
            </w:r>
            <w:r w:rsidRPr="000F1EC3">
              <w:rPr>
                <w:rFonts w:ascii="Times New Roman" w:hAnsi="Times New Roman"/>
                <w:b/>
                <w:spacing w:val="-2"/>
                <w:sz w:val="24"/>
                <w:lang w:val="vi-VN"/>
              </w:rPr>
              <w:t>M</w:t>
            </w:r>
            <w:r w:rsidRPr="000F1EC3">
              <w:rPr>
                <w:rFonts w:ascii="Times New Roman" w:hAnsi="Times New Roman"/>
                <w:b/>
                <w:spacing w:val="-2"/>
                <w:sz w:val="24"/>
              </w:rPr>
              <w:t xml:space="preserve">ục 3. </w:t>
            </w:r>
            <w:r w:rsidRPr="000F1EC3">
              <w:rPr>
                <w:rFonts w:ascii="Times New Roman" w:hAnsi="Times New Roman"/>
                <w:b/>
                <w:i/>
                <w:iCs/>
                <w:spacing w:val="-2"/>
                <w:sz w:val="24"/>
              </w:rPr>
              <w:t xml:space="preserve">PHÒNG, CHỐNG </w:t>
            </w:r>
            <w:r w:rsidRPr="000F1EC3">
              <w:rPr>
                <w:rFonts w:ascii="Times New Roman" w:hAnsi="Times New Roman"/>
                <w:b/>
                <w:spacing w:val="-2"/>
                <w:sz w:val="24"/>
                <w:lang w:val="vi-VN"/>
              </w:rPr>
              <w:t xml:space="preserve">THIÊN TAI VÀ </w:t>
            </w:r>
            <w:r w:rsidRPr="000F1EC3">
              <w:rPr>
                <w:rFonts w:ascii="Times New Roman" w:hAnsi="Times New Roman"/>
                <w:b/>
                <w:i/>
                <w:iCs/>
                <w:spacing w:val="-2"/>
                <w:sz w:val="24"/>
                <w:lang w:val="vi-VN"/>
              </w:rPr>
              <w:t xml:space="preserve">ỨNG PHÓ </w:t>
            </w:r>
            <w:r w:rsidRPr="000F1EC3">
              <w:rPr>
                <w:rFonts w:ascii="Times New Roman" w:hAnsi="Times New Roman"/>
                <w:b/>
                <w:spacing w:val="-2"/>
                <w:sz w:val="24"/>
                <w:lang w:val="vi-VN"/>
              </w:rPr>
              <w:t>SỰ CỐ TRÀN DẦU TRONG HOẠT ĐỘNG HÀNG HẢI VÀ ĐƯỜNG THỦY NỘI ĐỊA</w:t>
            </w:r>
            <w:r w:rsidRPr="000F1EC3">
              <w:rPr>
                <w:rFonts w:ascii="Times New Roman" w:hAnsi="Times New Roman"/>
                <w:b/>
                <w:spacing w:val="-2"/>
                <w:sz w:val="24"/>
              </w:rPr>
              <w:t>”</w:t>
            </w:r>
          </w:p>
        </w:tc>
        <w:tc>
          <w:tcPr>
            <w:tcW w:w="2793" w:type="dxa"/>
            <w:vAlign w:val="center"/>
          </w:tcPr>
          <w:p w14:paraId="7EB746DE" w14:textId="4EE0253E"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đã được rà soát, điều chỉnh để bảo đảm phù hợp với nội hàm quy định.</w:t>
            </w:r>
          </w:p>
        </w:tc>
      </w:tr>
      <w:tr w:rsidR="00137B24" w:rsidRPr="000F1EC3" w14:paraId="055B5C9F" w14:textId="77777777" w:rsidTr="001B580E">
        <w:trPr>
          <w:gridAfter w:val="1"/>
          <w:wAfter w:w="8" w:type="dxa"/>
        </w:trPr>
        <w:tc>
          <w:tcPr>
            <w:tcW w:w="914" w:type="dxa"/>
            <w:vAlign w:val="center"/>
          </w:tcPr>
          <w:p w14:paraId="5F044E63" w14:textId="77777777" w:rsidR="00137B24" w:rsidRPr="00845D33" w:rsidRDefault="00137B24" w:rsidP="00845D33">
            <w:pPr>
              <w:pStyle w:val="ListParagraph"/>
              <w:numPr>
                <w:ilvl w:val="0"/>
                <w:numId w:val="19"/>
              </w:numPr>
              <w:spacing w:before="20" w:after="20"/>
              <w:jc w:val="both"/>
              <w:rPr>
                <w:rFonts w:ascii="Times New Roman" w:hAnsi="Times New Roman"/>
                <w:b/>
                <w:bCs/>
                <w:sz w:val="24"/>
              </w:rPr>
            </w:pPr>
          </w:p>
        </w:tc>
        <w:tc>
          <w:tcPr>
            <w:tcW w:w="992" w:type="dxa"/>
            <w:vAlign w:val="center"/>
          </w:tcPr>
          <w:p w14:paraId="43401803"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162</w:t>
            </w:r>
          </w:p>
        </w:tc>
        <w:tc>
          <w:tcPr>
            <w:tcW w:w="1620" w:type="dxa"/>
            <w:vAlign w:val="center"/>
          </w:tcPr>
          <w:p w14:paraId="0CE60216"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Sở Xây dựng Hưng Yên (văn bản số 2188/SXD-QLKCHT ngày 12/5/2026)</w:t>
            </w:r>
          </w:p>
        </w:tc>
        <w:tc>
          <w:tcPr>
            <w:tcW w:w="8872" w:type="dxa"/>
            <w:vAlign w:val="center"/>
          </w:tcPr>
          <w:p w14:paraId="6EEAB50B"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Điều tra tai nạn đề nghị bổ sung cụm từ “Tai nạn giao thông đường thủy nội địa” và cụm từ “trên địa bàn quản lý” cho đầy đủ, cụ thể: Cảng vụ hàng hải, Cảng vụ đường thủy nội địa trên địa bàn quản lý tổ chức điều tra tai nạn hàng hải, tai nạn giao thông đường thủy nội địa.</w:t>
            </w:r>
          </w:p>
        </w:tc>
        <w:tc>
          <w:tcPr>
            <w:tcW w:w="2793" w:type="dxa"/>
            <w:vAlign w:val="center"/>
          </w:tcPr>
          <w:p w14:paraId="3D3069E5" w14:textId="0C53A17A"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w:t>
            </w:r>
          </w:p>
        </w:tc>
      </w:tr>
      <w:tr w:rsidR="00137B24" w:rsidRPr="000F1EC3" w14:paraId="1FBDA77E" w14:textId="77777777" w:rsidTr="001B580E">
        <w:trPr>
          <w:gridAfter w:val="1"/>
          <w:wAfter w:w="8" w:type="dxa"/>
        </w:trPr>
        <w:tc>
          <w:tcPr>
            <w:tcW w:w="914" w:type="dxa"/>
            <w:vAlign w:val="center"/>
          </w:tcPr>
          <w:p w14:paraId="1CFCFEDB" w14:textId="77777777" w:rsidR="00137B24" w:rsidRPr="000A2023" w:rsidRDefault="00137B24" w:rsidP="000A2023">
            <w:pPr>
              <w:pStyle w:val="ListParagraph"/>
              <w:numPr>
                <w:ilvl w:val="0"/>
                <w:numId w:val="19"/>
              </w:numPr>
              <w:spacing w:before="20" w:after="20"/>
              <w:jc w:val="both"/>
              <w:rPr>
                <w:rFonts w:ascii="Times New Roman" w:hAnsi="Times New Roman"/>
                <w:b/>
                <w:bCs/>
                <w:sz w:val="24"/>
              </w:rPr>
            </w:pPr>
          </w:p>
        </w:tc>
        <w:tc>
          <w:tcPr>
            <w:tcW w:w="992" w:type="dxa"/>
            <w:vAlign w:val="center"/>
          </w:tcPr>
          <w:p w14:paraId="30C9C8CA"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164</w:t>
            </w:r>
          </w:p>
        </w:tc>
        <w:tc>
          <w:tcPr>
            <w:tcW w:w="1620" w:type="dxa"/>
            <w:vAlign w:val="center"/>
          </w:tcPr>
          <w:p w14:paraId="4828ADD2"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5BA13338"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sz w:val="24"/>
              </w:rPr>
              <w:t>(Văn bản số 3107/BQP-PC ngày 11/5/2026</w:t>
            </w:r>
          </w:p>
        </w:tc>
        <w:tc>
          <w:tcPr>
            <w:tcW w:w="8872" w:type="dxa"/>
            <w:vAlign w:val="center"/>
          </w:tcPr>
          <w:p w14:paraId="5236D4B1"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Đề nghị bổ sung các khoản: </w:t>
            </w:r>
            <w:r w:rsidRPr="000F1EC3">
              <w:rPr>
                <w:rFonts w:ascii="Times New Roman" w:hAnsi="Times New Roman"/>
                <w:i/>
                <w:sz w:val="24"/>
              </w:rPr>
              <w:t>“Chính phủ quy định về chế độ chính sách ưu đãi cho các tổ chức và cá nhân không thuộc lực lượng chuyên ngành tìm kiếm cứu nạn hàng hải khi tham gia tìm kiếm và cứu nạn”</w:t>
            </w:r>
            <w:r w:rsidRPr="000F1EC3">
              <w:rPr>
                <w:rFonts w:ascii="Times New Roman" w:hAnsi="Times New Roman"/>
                <w:sz w:val="24"/>
              </w:rPr>
              <w:t xml:space="preserve"> và </w:t>
            </w:r>
            <w:r w:rsidRPr="000F1EC3">
              <w:rPr>
                <w:rFonts w:ascii="Times New Roman" w:hAnsi="Times New Roman"/>
                <w:i/>
                <w:sz w:val="24"/>
              </w:rPr>
              <w:t xml:space="preserve">“Chính phủ </w:t>
            </w:r>
            <w:bookmarkStart w:id="1" w:name="loai_1_name"/>
            <w:r w:rsidRPr="000F1EC3">
              <w:rPr>
                <w:rFonts w:ascii="Times New Roman" w:eastAsia="Calibri" w:hAnsi="Times New Roman"/>
                <w:i/>
                <w:sz w:val="24"/>
              </w:rPr>
              <w:t xml:space="preserve">ban hành </w:t>
            </w:r>
            <w:r w:rsidRPr="000F1EC3">
              <w:rPr>
                <w:rFonts w:ascii="Times New Roman" w:hAnsi="Times New Roman"/>
                <w:i/>
                <w:sz w:val="24"/>
              </w:rPr>
              <w:t>Q</w:t>
            </w:r>
            <w:r w:rsidRPr="000F1EC3">
              <w:rPr>
                <w:rFonts w:ascii="Times New Roman" w:eastAsia="Calibri" w:hAnsi="Times New Roman"/>
                <w:i/>
                <w:sz w:val="24"/>
              </w:rPr>
              <w:t>uy chế phối hợp tìm kiếm</w:t>
            </w:r>
            <w:bookmarkEnd w:id="1"/>
            <w:r w:rsidRPr="000F1EC3">
              <w:rPr>
                <w:rFonts w:ascii="Times New Roman" w:hAnsi="Times New Roman"/>
                <w:i/>
                <w:sz w:val="24"/>
              </w:rPr>
              <w:t>, cứu nạn hàng hải và đường thủy nội địa”</w:t>
            </w:r>
            <w:r w:rsidRPr="000F1EC3">
              <w:rPr>
                <w:rFonts w:ascii="Times New Roman" w:hAnsi="Times New Roman"/>
                <w:sz w:val="24"/>
              </w:rPr>
              <w:t xml:space="preserve"> để phù hợp với Bộ luật này; đồng thời, làm cơ sở bổ sung, sửa đổi các quy chế, hướng dẫn về </w:t>
            </w:r>
            <w:r w:rsidRPr="000F1EC3">
              <w:rPr>
                <w:rFonts w:ascii="Times New Roman" w:eastAsia="Calibri" w:hAnsi="Times New Roman"/>
                <w:sz w:val="24"/>
              </w:rPr>
              <w:t>phối hợp tìm kiếm</w:t>
            </w:r>
            <w:r w:rsidRPr="000F1EC3">
              <w:rPr>
                <w:rFonts w:ascii="Times New Roman" w:hAnsi="Times New Roman"/>
                <w:sz w:val="24"/>
              </w:rPr>
              <w:t>, cứu nạn hàng hải và đường thủy nội địa hiện hành.</w:t>
            </w:r>
          </w:p>
          <w:p w14:paraId="1C8A72FA" w14:textId="77777777" w:rsidR="00137B24" w:rsidRPr="000F1EC3" w:rsidRDefault="00137B24" w:rsidP="00137B24">
            <w:pPr>
              <w:spacing w:before="20" w:after="20"/>
              <w:jc w:val="both"/>
              <w:rPr>
                <w:rFonts w:ascii="Times New Roman" w:hAnsi="Times New Roman"/>
                <w:sz w:val="24"/>
              </w:rPr>
            </w:pPr>
          </w:p>
        </w:tc>
        <w:tc>
          <w:tcPr>
            <w:tcW w:w="2793" w:type="dxa"/>
            <w:vAlign w:val="center"/>
          </w:tcPr>
          <w:p w14:paraId="0669B126" w14:textId="7F667CB0"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chỉnh sửa</w:t>
            </w:r>
          </w:p>
        </w:tc>
      </w:tr>
      <w:tr w:rsidR="00137B24" w:rsidRPr="000F1EC3" w14:paraId="29EFDB09" w14:textId="77777777" w:rsidTr="001B580E">
        <w:trPr>
          <w:gridAfter w:val="1"/>
          <w:wAfter w:w="8" w:type="dxa"/>
        </w:trPr>
        <w:tc>
          <w:tcPr>
            <w:tcW w:w="914" w:type="dxa"/>
            <w:vAlign w:val="center"/>
          </w:tcPr>
          <w:p w14:paraId="49CF5873" w14:textId="77777777" w:rsidR="00137B24" w:rsidRPr="000A2023" w:rsidRDefault="00137B24" w:rsidP="000A2023">
            <w:pPr>
              <w:pStyle w:val="ListParagraph"/>
              <w:numPr>
                <w:ilvl w:val="0"/>
                <w:numId w:val="19"/>
              </w:numPr>
              <w:spacing w:before="20" w:after="20"/>
              <w:jc w:val="both"/>
              <w:rPr>
                <w:rFonts w:ascii="Times New Roman" w:hAnsi="Times New Roman"/>
                <w:b/>
                <w:bCs/>
                <w:sz w:val="24"/>
              </w:rPr>
            </w:pPr>
          </w:p>
        </w:tc>
        <w:tc>
          <w:tcPr>
            <w:tcW w:w="992" w:type="dxa"/>
            <w:vAlign w:val="center"/>
          </w:tcPr>
          <w:p w14:paraId="32811F27"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166</w:t>
            </w:r>
          </w:p>
        </w:tc>
        <w:tc>
          <w:tcPr>
            <w:tcW w:w="1620" w:type="dxa"/>
            <w:vAlign w:val="center"/>
          </w:tcPr>
          <w:p w14:paraId="1E94D9CF"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4F74AE58"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Khoản 1 quy định “a) Tiến hành việc cứu hộ một cách mẫn cán;” và khoản 2 “b) Phải hành động mẫn cán”, đối với các quy định trên, cần sử dụng ngôn ngữ chuẩn xác, thuần việt và phù hợp hơn.</w:t>
            </w:r>
          </w:p>
        </w:tc>
        <w:tc>
          <w:tcPr>
            <w:tcW w:w="2793" w:type="dxa"/>
            <w:vAlign w:val="center"/>
          </w:tcPr>
          <w:p w14:paraId="4A513F22" w14:textId="208743D6"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w:t>
            </w:r>
          </w:p>
        </w:tc>
      </w:tr>
      <w:tr w:rsidR="00137B24" w:rsidRPr="000F1EC3" w14:paraId="279AA100" w14:textId="77777777" w:rsidTr="001B580E">
        <w:trPr>
          <w:gridAfter w:val="1"/>
          <w:wAfter w:w="8" w:type="dxa"/>
        </w:trPr>
        <w:tc>
          <w:tcPr>
            <w:tcW w:w="914" w:type="dxa"/>
            <w:vAlign w:val="center"/>
          </w:tcPr>
          <w:p w14:paraId="71B2C062" w14:textId="77777777" w:rsidR="00137B24" w:rsidRPr="000A2023" w:rsidRDefault="00137B24" w:rsidP="000A2023">
            <w:pPr>
              <w:pStyle w:val="ListParagraph"/>
              <w:numPr>
                <w:ilvl w:val="0"/>
                <w:numId w:val="19"/>
              </w:numPr>
              <w:spacing w:before="20" w:after="20"/>
              <w:jc w:val="both"/>
              <w:rPr>
                <w:rFonts w:ascii="Times New Roman" w:hAnsi="Times New Roman"/>
                <w:b/>
                <w:bCs/>
                <w:sz w:val="24"/>
              </w:rPr>
            </w:pPr>
          </w:p>
        </w:tc>
        <w:tc>
          <w:tcPr>
            <w:tcW w:w="992" w:type="dxa"/>
            <w:vAlign w:val="center"/>
          </w:tcPr>
          <w:p w14:paraId="718B60D1"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168</w:t>
            </w:r>
          </w:p>
        </w:tc>
        <w:tc>
          <w:tcPr>
            <w:tcW w:w="1620" w:type="dxa"/>
            <w:vAlign w:val="center"/>
          </w:tcPr>
          <w:p w14:paraId="0B0E1D74"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378C916E"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26B3FBD5"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bCs/>
                <w:sz w:val="24"/>
              </w:rPr>
              <w:t xml:space="preserve">Đề nghị chỉnh sửa, bổ sung thành: </w:t>
            </w:r>
            <w:r w:rsidRPr="000F1EC3">
              <w:rPr>
                <w:rFonts w:ascii="Times New Roman" w:hAnsi="Times New Roman"/>
                <w:bCs/>
                <w:i/>
                <w:sz w:val="24"/>
              </w:rPr>
              <w:t xml:space="preserve">“Cơ quan quản lý nhà nước chuyên ngành hàng hải và đường thủy nội địa chỉ đạo, hướng dẫn, đôn đốc và kiểm tra các đơn vị trực thuộc, các tổ chức, cá nhân hoạt động trong lĩnh vực hàng hải trong việc xây dựng và thực hiện phương án </w:t>
            </w:r>
            <w:r w:rsidRPr="000F1EC3">
              <w:rPr>
                <w:rFonts w:ascii="Times New Roman" w:hAnsi="Times New Roman"/>
                <w:b/>
                <w:bCs/>
                <w:i/>
                <w:sz w:val="24"/>
              </w:rPr>
              <w:t>phòng ngừa,</w:t>
            </w:r>
            <w:r w:rsidRPr="000F1EC3">
              <w:rPr>
                <w:rFonts w:ascii="Times New Roman" w:hAnsi="Times New Roman"/>
                <w:bCs/>
                <w:i/>
                <w:sz w:val="24"/>
              </w:rPr>
              <w:t xml:space="preserve"> ứng phó, </w:t>
            </w:r>
            <w:r w:rsidRPr="000F1EC3">
              <w:rPr>
                <w:rFonts w:ascii="Times New Roman" w:hAnsi="Times New Roman"/>
                <w:b/>
                <w:bCs/>
                <w:i/>
                <w:sz w:val="24"/>
              </w:rPr>
              <w:t>khắc phục sự cố, thảm họa</w:t>
            </w:r>
            <w:r w:rsidRPr="000F1EC3">
              <w:rPr>
                <w:rFonts w:ascii="Times New Roman" w:hAnsi="Times New Roman"/>
                <w:bCs/>
                <w:i/>
                <w:sz w:val="24"/>
              </w:rPr>
              <w:t xml:space="preserve"> phù hợp với...”</w:t>
            </w:r>
            <w:r w:rsidRPr="000F1EC3">
              <w:rPr>
                <w:rFonts w:ascii="Times New Roman" w:hAnsi="Times New Roman"/>
                <w:bCs/>
                <w:sz w:val="24"/>
              </w:rPr>
              <w:t>.</w:t>
            </w:r>
          </w:p>
        </w:tc>
        <w:tc>
          <w:tcPr>
            <w:tcW w:w="2793" w:type="dxa"/>
            <w:vAlign w:val="center"/>
          </w:tcPr>
          <w:p w14:paraId="61D0F02C" w14:textId="4DC3DD7B"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Đề nghị giữ nguyên như dự thảo để bảo đảm tính khả thi.</w:t>
            </w:r>
          </w:p>
        </w:tc>
      </w:tr>
      <w:tr w:rsidR="00137B24" w:rsidRPr="000F1EC3" w14:paraId="33DD7A29" w14:textId="77777777" w:rsidTr="001B580E">
        <w:trPr>
          <w:gridAfter w:val="1"/>
          <w:wAfter w:w="8" w:type="dxa"/>
        </w:trPr>
        <w:tc>
          <w:tcPr>
            <w:tcW w:w="914" w:type="dxa"/>
            <w:vAlign w:val="center"/>
          </w:tcPr>
          <w:p w14:paraId="721F4EBE"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361CD5BF"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0B40CAA5"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Bộ NNMT (văn bản số 4798/BNNMT-PC ngày 13/5/2026)</w:t>
            </w:r>
          </w:p>
        </w:tc>
        <w:tc>
          <w:tcPr>
            <w:tcW w:w="8872" w:type="dxa"/>
            <w:vAlign w:val="center"/>
          </w:tcPr>
          <w:p w14:paraId="4FAACFA4" w14:textId="77777777" w:rsidR="00137B24" w:rsidRPr="000F1EC3" w:rsidRDefault="00137B24" w:rsidP="00137B24">
            <w:pPr>
              <w:tabs>
                <w:tab w:val="left" w:pos="851"/>
              </w:tabs>
              <w:spacing w:before="20" w:after="20"/>
              <w:jc w:val="both"/>
              <w:rPr>
                <w:rFonts w:ascii="Times New Roman" w:hAnsi="Times New Roman"/>
                <w:b/>
                <w:spacing w:val="-2"/>
                <w:sz w:val="24"/>
                <w:lang w:val="vi-VN"/>
              </w:rPr>
            </w:pPr>
            <w:r w:rsidRPr="000F1EC3">
              <w:rPr>
                <w:rFonts w:ascii="Times New Roman" w:hAnsi="Times New Roman"/>
                <w:spacing w:val="-2"/>
                <w:sz w:val="24"/>
              </w:rPr>
              <w:t xml:space="preserve">- </w:t>
            </w:r>
            <w:r w:rsidRPr="000F1EC3">
              <w:rPr>
                <w:rFonts w:ascii="Times New Roman" w:hAnsi="Times New Roman"/>
                <w:bCs/>
                <w:spacing w:val="-2"/>
                <w:sz w:val="24"/>
                <w:lang w:val="vi-VN"/>
              </w:rPr>
              <w:t>Đề nghị chỉnh sửa, bổ sung</w:t>
            </w:r>
            <w:r w:rsidRPr="000F1EC3">
              <w:rPr>
                <w:rFonts w:ascii="Times New Roman" w:hAnsi="Times New Roman"/>
                <w:b/>
                <w:spacing w:val="-2"/>
                <w:sz w:val="24"/>
                <w:lang w:val="vi-VN"/>
              </w:rPr>
              <w:t xml:space="preserve"> </w:t>
            </w:r>
            <w:r w:rsidRPr="000F1EC3">
              <w:rPr>
                <w:rFonts w:ascii="Times New Roman" w:hAnsi="Times New Roman"/>
                <w:spacing w:val="-2"/>
                <w:sz w:val="24"/>
              </w:rPr>
              <w:t>đảm bảo quy định của Luật Phòng, chống thiên tai, đồng thời bổ sung các quy định về đảm bảo an toàn hàng hải, thủy nội địa trong tình huống thiên tai đã quy định tại Bộ Luật Hàng hải, Luật Giao thông thủy nội địa để đảm bảo tính kế thừa các quy định hiện hành như sau:</w:t>
            </w:r>
          </w:p>
          <w:p w14:paraId="66ECAD27" w14:textId="77777777" w:rsidR="00137B24" w:rsidRPr="000F1EC3" w:rsidRDefault="00137B24" w:rsidP="00137B24">
            <w:pPr>
              <w:tabs>
                <w:tab w:val="left" w:pos="851"/>
              </w:tabs>
              <w:spacing w:before="20" w:after="20"/>
              <w:jc w:val="both"/>
              <w:rPr>
                <w:rFonts w:ascii="Times New Roman" w:hAnsi="Times New Roman"/>
                <w:b/>
                <w:i/>
                <w:iCs/>
                <w:spacing w:val="-2"/>
                <w:sz w:val="24"/>
              </w:rPr>
            </w:pPr>
            <w:r w:rsidRPr="000F1EC3">
              <w:rPr>
                <w:rFonts w:ascii="Times New Roman" w:hAnsi="Times New Roman"/>
                <w:i/>
                <w:iCs/>
                <w:spacing w:val="-2"/>
                <w:sz w:val="24"/>
              </w:rPr>
              <w:t>“</w:t>
            </w:r>
            <w:r w:rsidRPr="000F1EC3">
              <w:rPr>
                <w:rFonts w:ascii="Times New Roman" w:hAnsi="Times New Roman"/>
                <w:b/>
                <w:i/>
                <w:iCs/>
                <w:spacing w:val="-2"/>
                <w:sz w:val="24"/>
                <w:lang w:val="vi-VN"/>
              </w:rPr>
              <w:t xml:space="preserve">Điều </w:t>
            </w:r>
            <w:r w:rsidRPr="000F1EC3">
              <w:rPr>
                <w:rFonts w:ascii="Times New Roman" w:hAnsi="Times New Roman"/>
                <w:b/>
                <w:i/>
                <w:iCs/>
                <w:spacing w:val="-2"/>
                <w:sz w:val="24"/>
              </w:rPr>
              <w:t>168.</w:t>
            </w:r>
            <w:r w:rsidRPr="000F1EC3">
              <w:rPr>
                <w:rFonts w:ascii="Times New Roman" w:hAnsi="Times New Roman"/>
                <w:b/>
                <w:i/>
                <w:iCs/>
                <w:spacing w:val="-2"/>
                <w:sz w:val="24"/>
                <w:lang w:val="vi-VN"/>
              </w:rPr>
              <w:t xml:space="preserve"> </w:t>
            </w:r>
            <w:r w:rsidRPr="000F1EC3">
              <w:rPr>
                <w:rFonts w:ascii="Times New Roman" w:hAnsi="Times New Roman"/>
                <w:b/>
                <w:i/>
                <w:iCs/>
                <w:spacing w:val="-2"/>
                <w:sz w:val="24"/>
              </w:rPr>
              <w:t>Phòng, chống</w:t>
            </w:r>
            <w:r w:rsidRPr="000F1EC3">
              <w:rPr>
                <w:rFonts w:ascii="Times New Roman" w:hAnsi="Times New Roman"/>
                <w:b/>
                <w:i/>
                <w:iCs/>
                <w:spacing w:val="-2"/>
                <w:sz w:val="24"/>
                <w:lang w:val="vi-VN"/>
              </w:rPr>
              <w:t xml:space="preserve"> thiên tai</w:t>
            </w:r>
          </w:p>
          <w:p w14:paraId="20BBA48F" w14:textId="77777777" w:rsidR="00137B24" w:rsidRPr="000F1EC3" w:rsidRDefault="00137B24" w:rsidP="00137B24">
            <w:pPr>
              <w:tabs>
                <w:tab w:val="left" w:pos="851"/>
              </w:tabs>
              <w:spacing w:before="20" w:after="20"/>
              <w:jc w:val="both"/>
              <w:rPr>
                <w:rFonts w:ascii="Times New Roman" w:hAnsi="Times New Roman"/>
                <w:bCs/>
                <w:i/>
                <w:iCs/>
                <w:spacing w:val="-2"/>
                <w:sz w:val="24"/>
              </w:rPr>
            </w:pPr>
            <w:r w:rsidRPr="000F1EC3">
              <w:rPr>
                <w:rFonts w:ascii="Times New Roman" w:hAnsi="Times New Roman"/>
                <w:bCs/>
                <w:i/>
                <w:iCs/>
                <w:spacing w:val="-2"/>
                <w:sz w:val="24"/>
              </w:rPr>
              <w:t>…</w:t>
            </w:r>
          </w:p>
          <w:p w14:paraId="59A4D14C" w14:textId="77777777" w:rsidR="00137B24" w:rsidRPr="000F1EC3" w:rsidRDefault="00137B24" w:rsidP="00137B24">
            <w:pPr>
              <w:tabs>
                <w:tab w:val="left" w:pos="851"/>
              </w:tabs>
              <w:spacing w:before="20" w:after="20"/>
              <w:jc w:val="both"/>
              <w:rPr>
                <w:rFonts w:ascii="Times New Roman" w:hAnsi="Times New Roman"/>
                <w:bCs/>
                <w:i/>
                <w:iCs/>
                <w:spacing w:val="-2"/>
                <w:sz w:val="24"/>
              </w:rPr>
            </w:pPr>
            <w:r w:rsidRPr="000F1EC3">
              <w:rPr>
                <w:rFonts w:ascii="Times New Roman" w:hAnsi="Times New Roman"/>
                <w:bCs/>
                <w:i/>
                <w:iCs/>
                <w:spacing w:val="-2"/>
                <w:sz w:val="24"/>
              </w:rPr>
              <w:t>2. …..</w:t>
            </w:r>
            <w:r w:rsidRPr="000F1EC3">
              <w:rPr>
                <w:rFonts w:ascii="Times New Roman" w:eastAsia="Calibri" w:hAnsi="Times New Roman"/>
                <w:bCs/>
                <w:sz w:val="24"/>
                <w:lang w:val="vi-VN"/>
              </w:rPr>
              <w:t xml:space="preserve"> </w:t>
            </w:r>
            <w:r w:rsidRPr="000F1EC3">
              <w:rPr>
                <w:rFonts w:ascii="Times New Roman" w:hAnsi="Times New Roman"/>
                <w:bCs/>
                <w:i/>
                <w:iCs/>
                <w:spacing w:val="-2"/>
                <w:sz w:val="24"/>
                <w:lang w:val="vi-VN"/>
              </w:rPr>
              <w:t xml:space="preserve">thực hiện </w:t>
            </w:r>
            <w:r w:rsidRPr="000F1EC3">
              <w:rPr>
                <w:rFonts w:ascii="Times New Roman" w:hAnsi="Times New Roman"/>
                <w:bCs/>
                <w:i/>
                <w:iCs/>
                <w:strike/>
                <w:spacing w:val="-2"/>
                <w:sz w:val="24"/>
                <w:lang w:val="vi-VN"/>
              </w:rPr>
              <w:t>kế hoạch</w:t>
            </w:r>
            <w:r w:rsidRPr="000F1EC3">
              <w:rPr>
                <w:rFonts w:ascii="Times New Roman" w:hAnsi="Times New Roman"/>
                <w:bCs/>
                <w:i/>
                <w:iCs/>
                <w:spacing w:val="-2"/>
                <w:sz w:val="24"/>
                <w:lang w:val="vi-VN"/>
              </w:rPr>
              <w:t xml:space="preserve">, phương án </w:t>
            </w:r>
            <w:r w:rsidRPr="000F1EC3">
              <w:rPr>
                <w:rFonts w:ascii="Times New Roman" w:hAnsi="Times New Roman"/>
                <w:b/>
                <w:i/>
                <w:iCs/>
                <w:spacing w:val="-2"/>
                <w:sz w:val="24"/>
              </w:rPr>
              <w:t>ứng phó</w:t>
            </w:r>
            <w:r w:rsidRPr="000F1EC3">
              <w:rPr>
                <w:rFonts w:ascii="Times New Roman" w:hAnsi="Times New Roman"/>
                <w:bCs/>
                <w:i/>
                <w:iCs/>
                <w:spacing w:val="-2"/>
                <w:sz w:val="24"/>
                <w:lang w:val="vi-VN"/>
              </w:rPr>
              <w:t xml:space="preserve"> thiên tai phù hợp</w:t>
            </w:r>
            <w:r w:rsidRPr="000F1EC3">
              <w:rPr>
                <w:rFonts w:ascii="Times New Roman" w:hAnsi="Times New Roman"/>
                <w:bCs/>
                <w:i/>
                <w:iCs/>
                <w:spacing w:val="-2"/>
                <w:sz w:val="24"/>
              </w:rPr>
              <w:t xml:space="preserve">….3. … </w:t>
            </w:r>
            <w:r w:rsidRPr="000F1EC3">
              <w:rPr>
                <w:rFonts w:ascii="Times New Roman" w:hAnsi="Times New Roman"/>
                <w:bCs/>
                <w:i/>
                <w:iCs/>
                <w:spacing w:val="-2"/>
                <w:sz w:val="24"/>
                <w:lang w:val="vi-VN"/>
              </w:rPr>
              <w:t xml:space="preserve">theo quy định </w:t>
            </w:r>
            <w:r w:rsidRPr="000F1EC3">
              <w:rPr>
                <w:rFonts w:ascii="Times New Roman" w:hAnsi="Times New Roman"/>
                <w:b/>
                <w:i/>
                <w:iCs/>
                <w:spacing w:val="-2"/>
                <w:sz w:val="24"/>
              </w:rPr>
              <w:t>của pháp luật</w:t>
            </w:r>
            <w:r w:rsidRPr="000F1EC3">
              <w:rPr>
                <w:rFonts w:ascii="Times New Roman" w:hAnsi="Times New Roman"/>
                <w:bCs/>
                <w:i/>
                <w:iCs/>
                <w:spacing w:val="-2"/>
                <w:sz w:val="24"/>
              </w:rPr>
              <w:t xml:space="preserve"> về</w:t>
            </w:r>
            <w:r w:rsidRPr="000F1EC3">
              <w:rPr>
                <w:rFonts w:ascii="Times New Roman" w:hAnsi="Times New Roman"/>
                <w:bCs/>
                <w:i/>
                <w:iCs/>
                <w:spacing w:val="-2"/>
                <w:sz w:val="24"/>
                <w:lang w:val="vi-VN"/>
              </w:rPr>
              <w:t xml:space="preserve"> phòng, chống thiên tai</w:t>
            </w:r>
            <w:r w:rsidRPr="000F1EC3">
              <w:rPr>
                <w:rFonts w:ascii="Times New Roman" w:hAnsi="Times New Roman"/>
                <w:bCs/>
                <w:i/>
                <w:iCs/>
                <w:spacing w:val="-2"/>
                <w:sz w:val="24"/>
              </w:rPr>
              <w:t>.”</w:t>
            </w:r>
          </w:p>
          <w:p w14:paraId="22FE382A" w14:textId="77777777" w:rsidR="00137B24" w:rsidRPr="000F1EC3" w:rsidRDefault="00137B24" w:rsidP="00137B24">
            <w:pPr>
              <w:tabs>
                <w:tab w:val="left" w:pos="851"/>
              </w:tabs>
              <w:spacing w:before="20" w:after="20"/>
              <w:jc w:val="both"/>
              <w:rPr>
                <w:rFonts w:ascii="Times New Roman" w:hAnsi="Times New Roman"/>
                <w:bCs/>
                <w:spacing w:val="-2"/>
                <w:sz w:val="24"/>
              </w:rPr>
            </w:pPr>
            <w:r w:rsidRPr="000F1EC3">
              <w:rPr>
                <w:rFonts w:ascii="Times New Roman" w:hAnsi="Times New Roman"/>
                <w:b/>
                <w:spacing w:val="-2"/>
                <w:sz w:val="24"/>
              </w:rPr>
              <w:t xml:space="preserve">- </w:t>
            </w:r>
            <w:r w:rsidRPr="000F1EC3">
              <w:rPr>
                <w:rFonts w:ascii="Times New Roman" w:hAnsi="Times New Roman"/>
                <w:bCs/>
                <w:spacing w:val="-2"/>
                <w:sz w:val="24"/>
              </w:rPr>
              <w:t>Đề nghị Bộ Xây dựng xem xét quy định tại khoản 4 giao</w:t>
            </w:r>
            <w:r w:rsidRPr="000F1EC3">
              <w:rPr>
                <w:rFonts w:ascii="Times New Roman" w:hAnsi="Times New Roman"/>
                <w:bCs/>
                <w:spacing w:val="-2"/>
                <w:sz w:val="24"/>
                <w:lang w:val="vi-VN"/>
              </w:rPr>
              <w:t xml:space="preserve"> Chính phủ quy định cụ thể về hoạt động phòng, chống thiên tai </w:t>
            </w:r>
            <w:r w:rsidRPr="000F1EC3">
              <w:rPr>
                <w:rFonts w:ascii="Times New Roman" w:hAnsi="Times New Roman"/>
                <w:bCs/>
                <w:spacing w:val="-2"/>
                <w:sz w:val="24"/>
              </w:rPr>
              <w:t xml:space="preserve">do </w:t>
            </w:r>
            <w:r w:rsidRPr="000F1EC3">
              <w:rPr>
                <w:rFonts w:ascii="Times New Roman" w:hAnsi="Times New Roman"/>
                <w:bCs/>
                <w:spacing w:val="-2"/>
                <w:sz w:val="24"/>
                <w:lang w:val="vi-VN"/>
              </w:rPr>
              <w:t>Các hoạt động phòng, chống thiên tai đã được quy định chi tiết trong Luật Phòng, chống thiên tai và các văn bản hướng dẫn</w:t>
            </w:r>
            <w:r w:rsidRPr="000F1EC3">
              <w:rPr>
                <w:rFonts w:ascii="Times New Roman" w:hAnsi="Times New Roman"/>
                <w:bCs/>
                <w:spacing w:val="-2"/>
                <w:sz w:val="24"/>
              </w:rPr>
              <w:t xml:space="preserve">. </w:t>
            </w:r>
            <w:r w:rsidRPr="000F1EC3">
              <w:rPr>
                <w:rFonts w:ascii="Times New Roman" w:hAnsi="Times New Roman"/>
                <w:bCs/>
                <w:spacing w:val="-2"/>
                <w:sz w:val="24"/>
                <w:lang w:val="vi-VN"/>
              </w:rPr>
              <w:t xml:space="preserve">Đồng thời, Điều 80 Bộ luật Hàng hải Việt Nam quy định về tạm thời không cho phép tàu thuyền đến, rời cảng biển, bến cảng, cầu cảng, bến phao, khu nước, vùng nước và Điều 21 Luật Giao thông đường thuỷ nội </w:t>
            </w:r>
            <w:r w:rsidRPr="000F1EC3">
              <w:rPr>
                <w:rFonts w:ascii="Times New Roman" w:hAnsi="Times New Roman"/>
                <w:bCs/>
                <w:spacing w:val="-2"/>
                <w:sz w:val="24"/>
                <w:lang w:val="vi-VN"/>
              </w:rPr>
              <w:lastRenderedPageBreak/>
              <w:t>địa quy định về hạn chế giao thông trên đường thủy nội địa trong một số tình huống, trong đó có thiên tai. Các nội dung nêu trên chưa được kế thừa trong dự thảo Bộ luật Hàng hải và Đường thuỷ nội địa Việt Nam. Vì vậy, đề nghị bổ sung các quy định nêu trên thành khoản 4 Điều 168 (thay thế nội dung dự thảo khoản 4 Điều 168 hiện tại) để đảm bảo tính kế thừa các quy định hiện hành và giao Chính phủ quy định chi tiết khoản này; đồng thời các nội dung về hạn chế quyền của các tổ chức, cá nhân cần được quy định trong Luật theo Điều 10 Luật ban hành văn bản quy phạm pháp luật.</w:t>
            </w:r>
            <w:r w:rsidRPr="000F1EC3">
              <w:rPr>
                <w:rFonts w:ascii="Times New Roman" w:hAnsi="Times New Roman"/>
                <w:bCs/>
                <w:spacing w:val="-2"/>
                <w:sz w:val="24"/>
              </w:rPr>
              <w:t>”.</w:t>
            </w:r>
          </w:p>
        </w:tc>
        <w:tc>
          <w:tcPr>
            <w:tcW w:w="2793" w:type="dxa"/>
            <w:vAlign w:val="center"/>
          </w:tcPr>
          <w:p w14:paraId="0DBD57C9" w14:textId="0BB8E55D"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Tiếp thu, rà soát, chỉnh sửa</w:t>
            </w:r>
          </w:p>
        </w:tc>
      </w:tr>
      <w:tr w:rsidR="00137B24" w:rsidRPr="000F1EC3" w14:paraId="5CB18B40" w14:textId="77777777" w:rsidTr="001B580E">
        <w:trPr>
          <w:gridAfter w:val="1"/>
          <w:wAfter w:w="8" w:type="dxa"/>
        </w:trPr>
        <w:tc>
          <w:tcPr>
            <w:tcW w:w="914" w:type="dxa"/>
            <w:vAlign w:val="center"/>
          </w:tcPr>
          <w:p w14:paraId="52A43CF4" w14:textId="77777777" w:rsidR="00137B24" w:rsidRPr="000A2023" w:rsidRDefault="00137B24" w:rsidP="000A2023">
            <w:pPr>
              <w:pStyle w:val="ListParagraph"/>
              <w:numPr>
                <w:ilvl w:val="0"/>
                <w:numId w:val="19"/>
              </w:numPr>
              <w:spacing w:before="20" w:after="20"/>
              <w:jc w:val="both"/>
              <w:rPr>
                <w:rFonts w:ascii="Times New Roman" w:hAnsi="Times New Roman"/>
                <w:b/>
                <w:bCs/>
                <w:sz w:val="24"/>
              </w:rPr>
            </w:pPr>
          </w:p>
        </w:tc>
        <w:tc>
          <w:tcPr>
            <w:tcW w:w="992" w:type="dxa"/>
            <w:vAlign w:val="center"/>
          </w:tcPr>
          <w:p w14:paraId="01C3301D" w14:textId="77777777" w:rsidR="00137B24" w:rsidRPr="000A2023" w:rsidRDefault="00137B24" w:rsidP="00137B24">
            <w:pPr>
              <w:spacing w:before="20" w:after="20"/>
              <w:jc w:val="both"/>
              <w:rPr>
                <w:rFonts w:ascii="Times New Roman" w:hAnsi="Times New Roman"/>
                <w:b/>
                <w:bCs/>
                <w:sz w:val="24"/>
              </w:rPr>
            </w:pPr>
            <w:r w:rsidRPr="000A2023">
              <w:rPr>
                <w:rFonts w:ascii="Times New Roman" w:hAnsi="Times New Roman"/>
                <w:b/>
                <w:sz w:val="24"/>
              </w:rPr>
              <w:t>Tại khoản 1 Điều 169</w:t>
            </w:r>
          </w:p>
        </w:tc>
        <w:tc>
          <w:tcPr>
            <w:tcW w:w="1620" w:type="dxa"/>
            <w:vAlign w:val="center"/>
          </w:tcPr>
          <w:p w14:paraId="38198959"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46B6F9BE"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7497D9C4" w14:textId="77777777" w:rsidR="00137B24" w:rsidRPr="000F1EC3" w:rsidRDefault="00137B24" w:rsidP="00137B24">
            <w:pPr>
              <w:spacing w:before="20" w:after="20"/>
              <w:jc w:val="both"/>
              <w:rPr>
                <w:rFonts w:ascii="Times New Roman" w:hAnsi="Times New Roman"/>
                <w:bCs/>
                <w:sz w:val="24"/>
              </w:rPr>
            </w:pPr>
            <w:r w:rsidRPr="000F1EC3">
              <w:rPr>
                <w:rFonts w:ascii="Times New Roman" w:hAnsi="Times New Roman"/>
                <w:bCs/>
                <w:sz w:val="24"/>
              </w:rPr>
              <w:t xml:space="preserve">đề nghị chỉnh lý thành: </w:t>
            </w:r>
            <w:r w:rsidRPr="000F1EC3">
              <w:rPr>
                <w:rFonts w:ascii="Times New Roman" w:hAnsi="Times New Roman"/>
                <w:bCs/>
                <w:i/>
                <w:sz w:val="24"/>
              </w:rPr>
              <w:t xml:space="preserve">“Tổ chức, cá nhân, tàu thuyền khi hoạt động tại cảng biển, cảng, bến thủy nội địa có trách nhiệm thực hiện nghiêm các quy định về ứng phó sự cố tràn dầu </w:t>
            </w:r>
            <w:r w:rsidRPr="000F1EC3">
              <w:rPr>
                <w:rFonts w:ascii="Times New Roman" w:hAnsi="Times New Roman"/>
                <w:b/>
                <w:bCs/>
                <w:i/>
                <w:sz w:val="24"/>
              </w:rPr>
              <w:t>theo quy định của pháp luật</w:t>
            </w:r>
            <w:r w:rsidRPr="000F1EC3">
              <w:rPr>
                <w:rFonts w:ascii="Times New Roman" w:hAnsi="Times New Roman"/>
                <w:bCs/>
                <w:i/>
                <w:sz w:val="24"/>
              </w:rPr>
              <w:t xml:space="preserve"> và các Điều ước quốc tế mà nước Cộng hòa xã hội chủ nghĩa Việt Nam là thành viên”.</w:t>
            </w:r>
            <w:r w:rsidRPr="000F1EC3">
              <w:rPr>
                <w:rFonts w:ascii="Times New Roman" w:hAnsi="Times New Roman"/>
                <w:bCs/>
                <w:sz w:val="24"/>
              </w:rPr>
              <w:t xml:space="preserve"> </w:t>
            </w:r>
          </w:p>
          <w:p w14:paraId="008A3C0D" w14:textId="77777777" w:rsidR="00137B24" w:rsidRPr="000F1EC3" w:rsidRDefault="00137B24" w:rsidP="00137B24">
            <w:pPr>
              <w:spacing w:before="20" w:after="20"/>
              <w:jc w:val="both"/>
              <w:rPr>
                <w:rFonts w:ascii="Times New Roman" w:hAnsi="Times New Roman"/>
                <w:bCs/>
                <w:sz w:val="24"/>
              </w:rPr>
            </w:pPr>
          </w:p>
        </w:tc>
        <w:tc>
          <w:tcPr>
            <w:tcW w:w="2793" w:type="dxa"/>
            <w:vAlign w:val="center"/>
          </w:tcPr>
          <w:p w14:paraId="522E7E56" w14:textId="78C55C7B"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sz w:val="24"/>
              </w:rPr>
              <w:t>Tiếp thu, rà soát, chỉnh sửa</w:t>
            </w:r>
          </w:p>
        </w:tc>
      </w:tr>
      <w:tr w:rsidR="00137B24" w:rsidRPr="000F1EC3" w14:paraId="2886E161" w14:textId="77777777" w:rsidTr="001B580E">
        <w:trPr>
          <w:gridAfter w:val="1"/>
          <w:wAfter w:w="8" w:type="dxa"/>
        </w:trPr>
        <w:tc>
          <w:tcPr>
            <w:tcW w:w="914" w:type="dxa"/>
            <w:vAlign w:val="center"/>
          </w:tcPr>
          <w:p w14:paraId="2237EBAC" w14:textId="77777777" w:rsidR="00137B24" w:rsidRPr="000A2023" w:rsidRDefault="00137B24" w:rsidP="000A2023">
            <w:pPr>
              <w:pStyle w:val="ListParagraph"/>
              <w:numPr>
                <w:ilvl w:val="0"/>
                <w:numId w:val="19"/>
              </w:numPr>
              <w:spacing w:before="20" w:after="20"/>
              <w:jc w:val="both"/>
              <w:rPr>
                <w:rFonts w:ascii="Times New Roman" w:hAnsi="Times New Roman"/>
                <w:b/>
                <w:bCs/>
                <w:sz w:val="24"/>
              </w:rPr>
            </w:pPr>
          </w:p>
        </w:tc>
        <w:tc>
          <w:tcPr>
            <w:tcW w:w="992" w:type="dxa"/>
            <w:vAlign w:val="center"/>
          </w:tcPr>
          <w:p w14:paraId="5658DBA8" w14:textId="4A702022" w:rsidR="00137B24" w:rsidRPr="000A2023" w:rsidRDefault="00137B24" w:rsidP="00137B24">
            <w:pPr>
              <w:spacing w:before="20" w:after="20"/>
              <w:jc w:val="both"/>
              <w:rPr>
                <w:rFonts w:ascii="Times New Roman" w:hAnsi="Times New Roman"/>
                <w:b/>
                <w:bCs/>
                <w:sz w:val="24"/>
              </w:rPr>
            </w:pPr>
            <w:r w:rsidRPr="000A2023">
              <w:rPr>
                <w:rFonts w:ascii="Times New Roman" w:hAnsi="Times New Roman"/>
                <w:b/>
                <w:sz w:val="24"/>
              </w:rPr>
              <w:t>Điều 181</w:t>
            </w:r>
          </w:p>
        </w:tc>
        <w:tc>
          <w:tcPr>
            <w:tcW w:w="1620" w:type="dxa"/>
            <w:vAlign w:val="center"/>
          </w:tcPr>
          <w:p w14:paraId="29EFA263"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69356815"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40E6EFB4" w14:textId="04B59211" w:rsidR="00137B24" w:rsidRPr="000F1EC3" w:rsidRDefault="000A2023" w:rsidP="00137B24">
            <w:pPr>
              <w:spacing w:before="20" w:after="20"/>
              <w:jc w:val="both"/>
              <w:rPr>
                <w:rFonts w:ascii="Times New Roman" w:hAnsi="Times New Roman"/>
                <w:bCs/>
                <w:sz w:val="24"/>
              </w:rPr>
            </w:pPr>
            <w:r>
              <w:rPr>
                <w:rFonts w:ascii="Times New Roman" w:hAnsi="Times New Roman"/>
                <w:sz w:val="24"/>
                <w:lang w:val="pt-BR"/>
              </w:rPr>
              <w:t xml:space="preserve">Khoản 1: </w:t>
            </w:r>
            <w:r w:rsidR="00137B24" w:rsidRPr="000F1EC3">
              <w:rPr>
                <w:rFonts w:ascii="Times New Roman" w:hAnsi="Times New Roman"/>
                <w:sz w:val="24"/>
                <w:lang w:val="pt-BR"/>
              </w:rPr>
              <w:t xml:space="preserve">đề nghị chỉnh lý cụm từ </w:t>
            </w:r>
            <w:r w:rsidR="00137B24" w:rsidRPr="000F1EC3">
              <w:rPr>
                <w:rFonts w:ascii="Times New Roman" w:hAnsi="Times New Roman"/>
                <w:i/>
                <w:sz w:val="24"/>
                <w:lang w:val="pt-BR"/>
              </w:rPr>
              <w:t xml:space="preserve">“lãnh thổ” </w:t>
            </w:r>
            <w:r w:rsidR="00137B24" w:rsidRPr="000F1EC3">
              <w:rPr>
                <w:rFonts w:ascii="Times New Roman" w:hAnsi="Times New Roman"/>
                <w:sz w:val="24"/>
                <w:lang w:val="pt-BR"/>
              </w:rPr>
              <w:t xml:space="preserve">thay thế bằng cụm từ </w:t>
            </w:r>
            <w:r w:rsidR="00137B24" w:rsidRPr="000F1EC3">
              <w:rPr>
                <w:rFonts w:ascii="Times New Roman" w:hAnsi="Times New Roman"/>
                <w:i/>
                <w:sz w:val="24"/>
                <w:lang w:val="pt-BR"/>
              </w:rPr>
              <w:t>“địa giới hành chính”</w:t>
            </w:r>
            <w:r w:rsidR="00137B24" w:rsidRPr="000F1EC3">
              <w:rPr>
                <w:rFonts w:ascii="Times New Roman" w:hAnsi="Times New Roman"/>
                <w:sz w:val="24"/>
                <w:lang w:val="pt-BR"/>
              </w:rPr>
              <w:t>.</w:t>
            </w:r>
          </w:p>
        </w:tc>
        <w:tc>
          <w:tcPr>
            <w:tcW w:w="2793" w:type="dxa"/>
            <w:vAlign w:val="center"/>
          </w:tcPr>
          <w:p w14:paraId="7686B2D1" w14:textId="568FC006"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giữ nguyên như dự thảo bảo đảm phù hợp với chủ quyền quốc gia.</w:t>
            </w:r>
          </w:p>
        </w:tc>
      </w:tr>
      <w:tr w:rsidR="00137B24" w:rsidRPr="000F1EC3" w14:paraId="00FD7B18" w14:textId="77777777" w:rsidTr="001B580E">
        <w:trPr>
          <w:gridAfter w:val="1"/>
          <w:wAfter w:w="8" w:type="dxa"/>
        </w:trPr>
        <w:tc>
          <w:tcPr>
            <w:tcW w:w="914" w:type="dxa"/>
            <w:vAlign w:val="center"/>
          </w:tcPr>
          <w:p w14:paraId="59811DFA"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4967F48F" w14:textId="252FF3A0" w:rsidR="00137B24" w:rsidRPr="000F1EC3" w:rsidRDefault="00137B24" w:rsidP="00137B24">
            <w:pPr>
              <w:spacing w:before="20" w:after="20"/>
              <w:jc w:val="both"/>
              <w:rPr>
                <w:rFonts w:ascii="Times New Roman" w:hAnsi="Times New Roman"/>
                <w:b/>
                <w:bCs/>
                <w:sz w:val="24"/>
              </w:rPr>
            </w:pPr>
          </w:p>
        </w:tc>
        <w:tc>
          <w:tcPr>
            <w:tcW w:w="1620" w:type="dxa"/>
            <w:vAlign w:val="center"/>
          </w:tcPr>
          <w:p w14:paraId="341DEBA4"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7AE5B64F"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598FFCB1" w14:textId="4F7532A5" w:rsidR="00137B24" w:rsidRPr="000F1EC3" w:rsidRDefault="000A2023" w:rsidP="00137B24">
            <w:pPr>
              <w:tabs>
                <w:tab w:val="left" w:pos="851"/>
                <w:tab w:val="left" w:pos="1134"/>
              </w:tabs>
              <w:spacing w:before="20" w:after="20"/>
              <w:jc w:val="both"/>
              <w:rPr>
                <w:rFonts w:ascii="Times New Roman" w:hAnsi="Times New Roman"/>
                <w:i/>
                <w:sz w:val="24"/>
              </w:rPr>
            </w:pPr>
            <w:r>
              <w:rPr>
                <w:rFonts w:ascii="Times New Roman" w:hAnsi="Times New Roman"/>
                <w:sz w:val="24"/>
              </w:rPr>
              <w:t xml:space="preserve">Khoản 2: </w:t>
            </w:r>
            <w:r w:rsidR="00137B24" w:rsidRPr="000F1EC3">
              <w:rPr>
                <w:rFonts w:ascii="Times New Roman" w:hAnsi="Times New Roman"/>
                <w:sz w:val="24"/>
              </w:rPr>
              <w:t>đề nghị</w:t>
            </w:r>
            <w:r w:rsidR="00137B24" w:rsidRPr="000F1EC3">
              <w:rPr>
                <w:rFonts w:ascii="Times New Roman" w:hAnsi="Times New Roman"/>
                <w:b/>
                <w:sz w:val="24"/>
              </w:rPr>
              <w:t xml:space="preserve"> </w:t>
            </w:r>
            <w:r w:rsidR="00137B24" w:rsidRPr="000F1EC3">
              <w:rPr>
                <w:rFonts w:ascii="Times New Roman" w:hAnsi="Times New Roman"/>
                <w:sz w:val="24"/>
              </w:rPr>
              <w:t>chỉnh lý lại thành:</w:t>
            </w:r>
            <w:r w:rsidR="00137B24" w:rsidRPr="000F1EC3">
              <w:rPr>
                <w:rFonts w:ascii="Times New Roman" w:hAnsi="Times New Roman"/>
                <w:i/>
                <w:sz w:val="24"/>
              </w:rPr>
              <w:t>“</w:t>
            </w:r>
            <w:r w:rsidR="00137B24" w:rsidRPr="000F1EC3">
              <w:rPr>
                <w:rFonts w:ascii="Times New Roman" w:hAnsi="Times New Roman"/>
                <w:bCs/>
                <w:i/>
                <w:sz w:val="24"/>
              </w:rPr>
              <w:t xml:space="preserve">Quyết định bắt giữ tàu biển của Tòa án được giao cho cảng vụ hai bản, một bản để thực hiện và một bản để cảng vụ giao cho thuyền trưởng tàu bị bắt giữ để thực hiện. </w:t>
            </w:r>
            <w:r w:rsidR="00137B24" w:rsidRPr="000F1EC3">
              <w:rPr>
                <w:rFonts w:ascii="Times New Roman" w:hAnsi="Times New Roman"/>
                <w:b/>
                <w:i/>
                <w:sz w:val="24"/>
              </w:rPr>
              <w:t>Cảng vụ Hàng hải có trách nhiệm thông báo cho Cơ quan quản lý nhà nước chuyên ngành hàng hải và các cơ quan quản lý nhà nước có liên quan tại cảng biển</w:t>
            </w:r>
            <w:r w:rsidR="00137B24" w:rsidRPr="000F1EC3">
              <w:rPr>
                <w:rFonts w:ascii="Times New Roman" w:hAnsi="Times New Roman"/>
                <w:i/>
                <w:sz w:val="24"/>
              </w:rPr>
              <w:t>”.</w:t>
            </w:r>
          </w:p>
          <w:p w14:paraId="03DE0638" w14:textId="77777777" w:rsidR="00137B24" w:rsidRPr="000F1EC3" w:rsidRDefault="00137B24" w:rsidP="00137B24">
            <w:pPr>
              <w:spacing w:before="20" w:after="20"/>
              <w:jc w:val="both"/>
              <w:rPr>
                <w:rFonts w:ascii="Times New Roman" w:hAnsi="Times New Roman"/>
                <w:bCs/>
                <w:sz w:val="24"/>
              </w:rPr>
            </w:pPr>
          </w:p>
        </w:tc>
        <w:tc>
          <w:tcPr>
            <w:tcW w:w="2793" w:type="dxa"/>
            <w:vAlign w:val="center"/>
          </w:tcPr>
          <w:p w14:paraId="77A145BE" w14:textId="0BBFE605"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giữ nguyên như dự thảo do Quyết định này do Tòa án ban hành.</w:t>
            </w:r>
          </w:p>
        </w:tc>
      </w:tr>
      <w:tr w:rsidR="00137B24" w:rsidRPr="000F1EC3" w14:paraId="47B6F2B3" w14:textId="77777777" w:rsidTr="001B580E">
        <w:trPr>
          <w:gridAfter w:val="1"/>
          <w:wAfter w:w="8" w:type="dxa"/>
        </w:trPr>
        <w:tc>
          <w:tcPr>
            <w:tcW w:w="914" w:type="dxa"/>
            <w:vAlign w:val="center"/>
          </w:tcPr>
          <w:p w14:paraId="1767FEF2"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0BAC3860"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68FB6B2A"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104B19DE"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2C2C0F26"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Đề nghị nghiên cứu, bổ sung quy định về cơ chế, chính sách liên quan đến tài sản, kết cấu hạ tầng cảng biển lưỡng dụng, đặc biệt tại các khu cửa ngõ chiến lược của quốc gia, cụ thể: </w:t>
            </w:r>
            <w:r w:rsidRPr="000F1EC3">
              <w:rPr>
                <w:rFonts w:ascii="Times New Roman" w:hAnsi="Times New Roman"/>
                <w:b/>
                <w:sz w:val="24"/>
              </w:rPr>
              <w:t>(1)</w:t>
            </w:r>
            <w:r w:rsidRPr="000F1EC3">
              <w:rPr>
                <w:rFonts w:ascii="Times New Roman" w:hAnsi="Times New Roman"/>
                <w:sz w:val="24"/>
              </w:rPr>
              <w:t xml:space="preserve"> Làm rõ định nghĩa rõ các nội dung sau: </w:t>
            </w:r>
            <w:r w:rsidRPr="000F1EC3">
              <w:rPr>
                <w:rFonts w:ascii="Times New Roman" w:hAnsi="Times New Roman"/>
                <w:sz w:val="24"/>
                <w:lang w:val="vi-VN"/>
              </w:rPr>
              <w:t>kết cấu hạ tầng c</w:t>
            </w:r>
            <w:r w:rsidRPr="000F1EC3">
              <w:rPr>
                <w:rFonts w:ascii="Times New Roman" w:hAnsi="Times New Roman"/>
                <w:sz w:val="24"/>
              </w:rPr>
              <w:t>ảng biển lưỡng dụng;</w:t>
            </w:r>
            <w:r w:rsidRPr="000F1EC3">
              <w:rPr>
                <w:rFonts w:ascii="Times New Roman" w:hAnsi="Times New Roman"/>
                <w:sz w:val="24"/>
                <w:lang w:val="vi-VN"/>
              </w:rPr>
              <w:t xml:space="preserve"> cảng biển lưỡng dụng;</w:t>
            </w:r>
            <w:r w:rsidRPr="000F1EC3">
              <w:rPr>
                <w:rFonts w:ascii="Times New Roman" w:hAnsi="Times New Roman"/>
                <w:sz w:val="24"/>
              </w:rPr>
              <w:t xml:space="preserve"> khai thác dân sự; sử dụng nhiệm vụ quân sự, quốc phòn</w:t>
            </w:r>
            <w:r w:rsidRPr="000F1EC3">
              <w:rPr>
                <w:rFonts w:ascii="Times New Roman" w:hAnsi="Times New Roman"/>
                <w:sz w:val="24"/>
                <w:lang w:val="vi-VN"/>
              </w:rPr>
              <w:t xml:space="preserve">g; đơn vị được giao quản lý, khai thác; </w:t>
            </w:r>
            <w:r w:rsidRPr="000F1EC3">
              <w:rPr>
                <w:rFonts w:ascii="Times New Roman" w:hAnsi="Times New Roman"/>
                <w:bCs/>
                <w:sz w:val="24"/>
                <w:lang w:val="vi-VN"/>
              </w:rPr>
              <w:t>q</w:t>
            </w:r>
            <w:r w:rsidRPr="000F1EC3">
              <w:rPr>
                <w:rFonts w:ascii="Times New Roman" w:hAnsi="Times New Roman"/>
                <w:bCs/>
                <w:sz w:val="24"/>
              </w:rPr>
              <w:t>uyền khai thác kết cấu hạ tầng cảng biển lưỡng dụng</w:t>
            </w:r>
            <w:r w:rsidRPr="000F1EC3">
              <w:rPr>
                <w:rFonts w:ascii="Times New Roman" w:hAnsi="Times New Roman"/>
                <w:bCs/>
                <w:sz w:val="24"/>
                <w:lang w:val="vi-VN"/>
              </w:rPr>
              <w:t>; khai thác trực tiếp; cho thuê quyền khai thác; nhượng quyền khai thác...</w:t>
            </w:r>
            <w:r w:rsidRPr="000F1EC3">
              <w:rPr>
                <w:rFonts w:ascii="Times New Roman" w:hAnsi="Times New Roman"/>
                <w:bCs/>
                <w:sz w:val="24"/>
              </w:rPr>
              <w:t xml:space="preserve">; </w:t>
            </w:r>
            <w:r w:rsidRPr="000F1EC3">
              <w:rPr>
                <w:rFonts w:ascii="Times New Roman" w:hAnsi="Times New Roman"/>
                <w:b/>
                <w:bCs/>
                <w:sz w:val="24"/>
              </w:rPr>
              <w:t>(2)</w:t>
            </w:r>
            <w:r w:rsidRPr="000F1EC3">
              <w:rPr>
                <w:rFonts w:ascii="Times New Roman" w:hAnsi="Times New Roman"/>
                <w:bCs/>
                <w:sz w:val="24"/>
              </w:rPr>
              <w:t xml:space="preserve"> </w:t>
            </w:r>
            <w:r w:rsidRPr="000F1EC3">
              <w:rPr>
                <w:rFonts w:ascii="Times New Roman" w:hAnsi="Times New Roman"/>
                <w:sz w:val="24"/>
              </w:rPr>
              <w:t xml:space="preserve">bổ sung thêm quy định về quy hoạch, đầu tư, quản lý hạ tầng cảng biển lưỡng dụng; </w:t>
            </w:r>
            <w:r w:rsidRPr="000F1EC3">
              <w:rPr>
                <w:rFonts w:ascii="Times New Roman" w:hAnsi="Times New Roman"/>
                <w:b/>
                <w:sz w:val="24"/>
              </w:rPr>
              <w:t>(3)</w:t>
            </w:r>
            <w:r w:rsidRPr="000F1EC3">
              <w:rPr>
                <w:rFonts w:ascii="Times New Roman" w:hAnsi="Times New Roman"/>
                <w:sz w:val="24"/>
              </w:rPr>
              <w:t xml:space="preserve"> bổ sung thêm quy định về phân loại cảng biển lưỡng dụng theo hướng </w:t>
            </w:r>
            <w:r w:rsidRPr="000F1EC3">
              <w:rPr>
                <w:rFonts w:ascii="Times New Roman" w:hAnsi="Times New Roman"/>
                <w:i/>
                <w:sz w:val="24"/>
              </w:rPr>
              <w:t>(i)</w:t>
            </w:r>
            <w:r w:rsidRPr="000F1EC3">
              <w:rPr>
                <w:rFonts w:ascii="Times New Roman" w:hAnsi="Times New Roman"/>
                <w:sz w:val="24"/>
              </w:rPr>
              <w:t xml:space="preserve"> cảng biển lưỡng dụng hình thành từ cảng </w:t>
            </w:r>
            <w:r w:rsidRPr="000F1EC3">
              <w:rPr>
                <w:rFonts w:ascii="Times New Roman" w:hAnsi="Times New Roman"/>
                <w:sz w:val="24"/>
              </w:rPr>
              <w:lastRenderedPageBreak/>
              <w:t xml:space="preserve">quân sự chuyển sang kết hợp dân sự, sản xuất kinh doanh, </w:t>
            </w:r>
            <w:r w:rsidRPr="000F1EC3">
              <w:rPr>
                <w:rFonts w:ascii="Times New Roman" w:hAnsi="Times New Roman"/>
                <w:i/>
                <w:sz w:val="24"/>
              </w:rPr>
              <w:t>(ii)</w:t>
            </w:r>
            <w:r w:rsidRPr="000F1EC3">
              <w:rPr>
                <w:rFonts w:ascii="Times New Roman" w:hAnsi="Times New Roman"/>
                <w:sz w:val="24"/>
              </w:rPr>
              <w:t xml:space="preserve"> cảng biển lưỡng dụng hình thành từ cảng dân sự chuyển sang kết hợp đảm bảo quân sự, quốc phòng, </w:t>
            </w:r>
            <w:r w:rsidRPr="000F1EC3">
              <w:rPr>
                <w:rFonts w:ascii="Times New Roman" w:hAnsi="Times New Roman"/>
                <w:i/>
                <w:sz w:val="24"/>
              </w:rPr>
              <w:t>(iii)</w:t>
            </w:r>
            <w:r w:rsidRPr="000F1EC3">
              <w:rPr>
                <w:rFonts w:ascii="Times New Roman" w:hAnsi="Times New Roman"/>
                <w:sz w:val="24"/>
              </w:rPr>
              <w:t xml:space="preserve"> cảng biển lưỡng dụng do Nhà nước hoặc doanh nghiệp nhà nước đầu tư mới.</w:t>
            </w:r>
          </w:p>
          <w:p w14:paraId="314DF2CE" w14:textId="77777777" w:rsidR="00137B24" w:rsidRPr="000F1EC3" w:rsidRDefault="00137B24" w:rsidP="00137B24">
            <w:pPr>
              <w:spacing w:before="20" w:after="20"/>
              <w:jc w:val="both"/>
              <w:rPr>
                <w:rFonts w:ascii="Times New Roman" w:hAnsi="Times New Roman"/>
                <w:bCs/>
                <w:sz w:val="24"/>
              </w:rPr>
            </w:pPr>
          </w:p>
        </w:tc>
        <w:tc>
          <w:tcPr>
            <w:tcW w:w="2793" w:type="dxa"/>
            <w:vAlign w:val="center"/>
          </w:tcPr>
          <w:p w14:paraId="1668A60D" w14:textId="4635B74B"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Tiếp thu, chỉnh sửa</w:t>
            </w:r>
          </w:p>
        </w:tc>
      </w:tr>
      <w:tr w:rsidR="00137B24" w:rsidRPr="000F1EC3" w14:paraId="18947021" w14:textId="77777777" w:rsidTr="001B580E">
        <w:trPr>
          <w:gridAfter w:val="1"/>
          <w:wAfter w:w="8" w:type="dxa"/>
        </w:trPr>
        <w:tc>
          <w:tcPr>
            <w:tcW w:w="914" w:type="dxa"/>
            <w:vAlign w:val="center"/>
          </w:tcPr>
          <w:p w14:paraId="50899CC9"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4A50AA1A"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139A948B"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2C415DF5"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62BE4217" w14:textId="77777777" w:rsidR="00137B24" w:rsidRPr="000F1EC3" w:rsidRDefault="00137B24" w:rsidP="00137B24">
            <w:pPr>
              <w:spacing w:before="20" w:after="20"/>
              <w:jc w:val="both"/>
              <w:rPr>
                <w:rFonts w:ascii="Times New Roman" w:hAnsi="Times New Roman"/>
                <w:bCs/>
                <w:sz w:val="24"/>
              </w:rPr>
            </w:pPr>
            <w:r w:rsidRPr="000F1EC3">
              <w:rPr>
                <w:rFonts w:ascii="Times New Roman" w:hAnsi="Times New Roman"/>
                <w:sz w:val="24"/>
              </w:rPr>
              <w:t>Đ</w:t>
            </w:r>
            <w:r w:rsidRPr="000F1EC3">
              <w:rPr>
                <w:rFonts w:ascii="Times New Roman" w:hAnsi="Times New Roman"/>
                <w:sz w:val="24"/>
                <w:shd w:val="clear" w:color="auto" w:fill="FFFFFF"/>
              </w:rPr>
              <w:t>ề nghị nghiên cứu, bổ sung quy định về hình thức “Cảng mở” (Open Port).</w:t>
            </w:r>
            <w:r w:rsidRPr="000F1EC3">
              <w:rPr>
                <w:rFonts w:ascii="Times New Roman" w:hAnsi="Times New Roman"/>
                <w:sz w:val="24"/>
                <w:lang w:val="vi-VN" w:eastAsia="vi-VN"/>
              </w:rPr>
              <w:t xml:space="preserve"> </w:t>
            </w:r>
            <w:r w:rsidRPr="000F1EC3">
              <w:rPr>
                <w:rFonts w:ascii="Times New Roman" w:hAnsi="Times New Roman"/>
                <w:sz w:val="24"/>
                <w:shd w:val="clear" w:color="auto" w:fill="FFFFFF"/>
                <w:lang w:val="vi-VN"/>
              </w:rPr>
              <w:t>Trong bối cảnh phát triển kinh tế biển, logistics quốc tế, chuyển đổi số ngành hàng hải và xu hướng hội nhập chuỗi cung ứng toàn cầu, mô hình “Cảng mở” (Open Port) đang được nhiều quốc gia áp dụng nhằm</w:t>
            </w:r>
            <w:r w:rsidRPr="000F1EC3">
              <w:rPr>
                <w:rFonts w:ascii="Times New Roman" w:hAnsi="Times New Roman"/>
                <w:sz w:val="24"/>
                <w:shd w:val="clear" w:color="auto" w:fill="FFFFFF"/>
              </w:rPr>
              <w:t xml:space="preserve">: (1) </w:t>
            </w:r>
            <w:r w:rsidRPr="000F1EC3">
              <w:rPr>
                <w:rFonts w:ascii="Times New Roman" w:hAnsi="Times New Roman"/>
                <w:sz w:val="24"/>
                <w:shd w:val="clear" w:color="auto" w:fill="FFFFFF"/>
                <w:lang w:val="vi-VN"/>
              </w:rPr>
              <w:t xml:space="preserve">Tăng tính kết nối giữa cảng biển </w:t>
            </w:r>
            <w:r w:rsidRPr="000F1EC3">
              <w:rPr>
                <w:rFonts w:ascii="Times New Roman" w:hAnsi="Times New Roman"/>
                <w:sz w:val="24"/>
                <w:shd w:val="clear" w:color="auto" w:fill="FFFFFF"/>
              </w:rPr>
              <w:t>-</w:t>
            </w:r>
            <w:r w:rsidRPr="000F1EC3">
              <w:rPr>
                <w:rFonts w:ascii="Times New Roman" w:hAnsi="Times New Roman"/>
                <w:sz w:val="24"/>
                <w:shd w:val="clear" w:color="auto" w:fill="FFFFFF"/>
                <w:lang w:val="vi-VN"/>
              </w:rPr>
              <w:t xml:space="preserve"> logistics </w:t>
            </w:r>
            <w:r w:rsidRPr="000F1EC3">
              <w:rPr>
                <w:rFonts w:ascii="Times New Roman" w:hAnsi="Times New Roman"/>
                <w:sz w:val="24"/>
                <w:shd w:val="clear" w:color="auto" w:fill="FFFFFF"/>
              </w:rPr>
              <w:t>-</w:t>
            </w:r>
            <w:r w:rsidRPr="000F1EC3">
              <w:rPr>
                <w:rFonts w:ascii="Times New Roman" w:hAnsi="Times New Roman"/>
                <w:sz w:val="24"/>
                <w:shd w:val="clear" w:color="auto" w:fill="FFFFFF"/>
                <w:lang w:val="vi-VN"/>
              </w:rPr>
              <w:t xml:space="preserve"> khu thương mại tự do </w:t>
            </w:r>
            <w:r w:rsidRPr="000F1EC3">
              <w:rPr>
                <w:rFonts w:ascii="Times New Roman" w:hAnsi="Times New Roman"/>
                <w:sz w:val="24"/>
                <w:shd w:val="clear" w:color="auto" w:fill="FFFFFF"/>
              </w:rPr>
              <w:t>-</w:t>
            </w:r>
            <w:r w:rsidRPr="000F1EC3">
              <w:rPr>
                <w:rFonts w:ascii="Times New Roman" w:hAnsi="Times New Roman"/>
                <w:sz w:val="24"/>
                <w:shd w:val="clear" w:color="auto" w:fill="FFFFFF"/>
                <w:lang w:val="vi-VN"/>
              </w:rPr>
              <w:t xml:space="preserve"> khu công nghiệp</w:t>
            </w:r>
            <w:r w:rsidRPr="000F1EC3">
              <w:rPr>
                <w:rFonts w:ascii="Times New Roman" w:hAnsi="Times New Roman"/>
                <w:sz w:val="24"/>
                <w:shd w:val="clear" w:color="auto" w:fill="FFFFFF"/>
              </w:rPr>
              <w:t xml:space="preserve">; (2) </w:t>
            </w:r>
            <w:r w:rsidRPr="000F1EC3">
              <w:rPr>
                <w:rFonts w:ascii="Times New Roman" w:hAnsi="Times New Roman"/>
                <w:sz w:val="24"/>
                <w:shd w:val="clear" w:color="auto" w:fill="FFFFFF"/>
                <w:lang w:val="vi-VN"/>
              </w:rPr>
              <w:t>Thu hút trung chuyển quốc tế, hàng hóa quá cảnh và dịch vụ giá trị gia tăng</w:t>
            </w:r>
            <w:r w:rsidRPr="000F1EC3">
              <w:rPr>
                <w:rFonts w:ascii="Times New Roman" w:hAnsi="Times New Roman"/>
                <w:sz w:val="24"/>
                <w:shd w:val="clear" w:color="auto" w:fill="FFFFFF"/>
              </w:rPr>
              <w:t xml:space="preserve">; (3) </w:t>
            </w:r>
            <w:r w:rsidRPr="000F1EC3">
              <w:rPr>
                <w:rFonts w:ascii="Times New Roman" w:hAnsi="Times New Roman"/>
                <w:sz w:val="24"/>
                <w:shd w:val="clear" w:color="auto" w:fill="FFFFFF"/>
                <w:lang w:val="vi-VN"/>
              </w:rPr>
              <w:t>Tối ưu hóa thủ tục hải quan, kiểm dịch, biên phòng thông qua cơ chế số hóa và quản trị tích hợp</w:t>
            </w:r>
            <w:r w:rsidRPr="000F1EC3">
              <w:rPr>
                <w:rFonts w:ascii="Times New Roman" w:hAnsi="Times New Roman"/>
                <w:sz w:val="24"/>
                <w:shd w:val="clear" w:color="auto" w:fill="FFFFFF"/>
              </w:rPr>
              <w:t xml:space="preserve">; (4) </w:t>
            </w:r>
            <w:r w:rsidRPr="000F1EC3">
              <w:rPr>
                <w:rFonts w:ascii="Times New Roman" w:hAnsi="Times New Roman"/>
                <w:sz w:val="24"/>
                <w:lang w:val="vi-VN" w:eastAsia="vi-VN"/>
              </w:rPr>
              <w:t>Nâng cao năng lực cạnh tranh quốc tế của hệ thống cảng biển</w:t>
            </w:r>
            <w:r w:rsidRPr="000F1EC3">
              <w:rPr>
                <w:rFonts w:ascii="Times New Roman" w:hAnsi="Times New Roman"/>
                <w:sz w:val="24"/>
                <w:lang w:eastAsia="vi-VN"/>
              </w:rPr>
              <w:t>.</w:t>
            </w:r>
          </w:p>
        </w:tc>
        <w:tc>
          <w:tcPr>
            <w:tcW w:w="2793" w:type="dxa"/>
            <w:vAlign w:val="center"/>
          </w:tcPr>
          <w:p w14:paraId="37FA4E23" w14:textId="334A56EC"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này liên quan đến hoạt động quản lý hải quan, đề nghị không điều chỉnh tại Bộ luật này.</w:t>
            </w:r>
          </w:p>
        </w:tc>
      </w:tr>
      <w:tr w:rsidR="00137B24" w:rsidRPr="000F1EC3" w14:paraId="41A8F57C" w14:textId="77777777" w:rsidTr="001B580E">
        <w:trPr>
          <w:gridAfter w:val="1"/>
          <w:wAfter w:w="8" w:type="dxa"/>
        </w:trPr>
        <w:tc>
          <w:tcPr>
            <w:tcW w:w="914" w:type="dxa"/>
            <w:vAlign w:val="center"/>
          </w:tcPr>
          <w:p w14:paraId="119E6C8C"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05B6E013"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53BEE8A1"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 xml:space="preserve">Bộ Quốc phòng </w:t>
            </w:r>
          </w:p>
          <w:p w14:paraId="5DEF5D60"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(Văn bản số 3107/BQP-PC ngày 11/5/2026</w:t>
            </w:r>
          </w:p>
        </w:tc>
        <w:tc>
          <w:tcPr>
            <w:tcW w:w="8872" w:type="dxa"/>
            <w:vAlign w:val="center"/>
          </w:tcPr>
          <w:p w14:paraId="42DE1380" w14:textId="77777777" w:rsidR="00137B24" w:rsidRPr="000F1EC3" w:rsidRDefault="00137B24" w:rsidP="00137B24">
            <w:pPr>
              <w:spacing w:before="20" w:after="20"/>
              <w:jc w:val="both"/>
              <w:rPr>
                <w:rFonts w:ascii="Times New Roman" w:hAnsi="Times New Roman"/>
                <w:i/>
                <w:sz w:val="24"/>
              </w:rPr>
            </w:pPr>
            <w:r w:rsidRPr="000F1EC3">
              <w:rPr>
                <w:rStyle w:val="fontstyle21"/>
                <w:rFonts w:ascii="Times New Roman" w:hAnsi="Times New Roman"/>
                <w:color w:val="auto"/>
                <w:sz w:val="24"/>
                <w:szCs w:val="24"/>
              </w:rPr>
              <w:t>Trong Luật Giao thông đường thuỷ nội địa năm 2004, sửa đổi, bổ sung năm 2014 có nhiều quy định thẩm quyền, trách nhiệm của Bộ trưởng Bộ Quốc phòng (khoản 4 Điều 13, khoản 6 Điều 25, khoản 4 Điều 26, khoản 5 Điều 29, khoản 4 Điều 31, khoản 4 Điều 33, khoản 5 Điều 34, khoản 5 Điều 69, khoản 3a Điều 99, …), đề nghị cơ quan soạn thảo nghiên cứu, chuyển tiếp quy định tại các điều khoản cụ thể tại Bộ luật Hàng hải và Đường thuỷ nội địa Việt Nam để bảo đảm cơ sở pháp lý tổ chức thực hiện các nội dung có liên quan.</w:t>
            </w:r>
          </w:p>
          <w:p w14:paraId="5C9EF75B" w14:textId="77777777" w:rsidR="00137B24" w:rsidRPr="000F1EC3" w:rsidRDefault="00137B24" w:rsidP="00137B24">
            <w:pPr>
              <w:spacing w:before="20" w:after="20"/>
              <w:jc w:val="both"/>
              <w:rPr>
                <w:rFonts w:ascii="Times New Roman" w:hAnsi="Times New Roman"/>
                <w:bCs/>
                <w:sz w:val="24"/>
              </w:rPr>
            </w:pPr>
          </w:p>
        </w:tc>
        <w:tc>
          <w:tcPr>
            <w:tcW w:w="2793" w:type="dxa"/>
            <w:vAlign w:val="center"/>
          </w:tcPr>
          <w:p w14:paraId="59844070" w14:textId="07ADFD0F"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ý kiến Bộ Nội vụ, dự thảo không quy định cụ thể trách nhiệm của các Bộ, ngành.</w:t>
            </w:r>
          </w:p>
        </w:tc>
      </w:tr>
      <w:tr w:rsidR="00137B24" w:rsidRPr="000F1EC3" w14:paraId="3503BE95" w14:textId="77777777" w:rsidTr="001B580E">
        <w:trPr>
          <w:gridAfter w:val="1"/>
          <w:wAfter w:w="8" w:type="dxa"/>
        </w:trPr>
        <w:tc>
          <w:tcPr>
            <w:tcW w:w="914" w:type="dxa"/>
            <w:vMerge w:val="restart"/>
            <w:vAlign w:val="center"/>
          </w:tcPr>
          <w:p w14:paraId="09DE6600" w14:textId="77777777" w:rsidR="00137B24" w:rsidRPr="000A2023" w:rsidRDefault="00137B24" w:rsidP="000A2023">
            <w:pPr>
              <w:pStyle w:val="ListParagraph"/>
              <w:numPr>
                <w:ilvl w:val="0"/>
                <w:numId w:val="19"/>
              </w:numPr>
              <w:spacing w:before="20" w:after="20"/>
              <w:jc w:val="both"/>
              <w:rPr>
                <w:rFonts w:ascii="Times New Roman" w:hAnsi="Times New Roman"/>
                <w:b/>
                <w:bCs/>
                <w:sz w:val="24"/>
              </w:rPr>
            </w:pPr>
          </w:p>
        </w:tc>
        <w:tc>
          <w:tcPr>
            <w:tcW w:w="992" w:type="dxa"/>
            <w:vMerge w:val="restart"/>
            <w:vAlign w:val="center"/>
          </w:tcPr>
          <w:p w14:paraId="33FBBA35" w14:textId="77777777"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Điều 188</w:t>
            </w:r>
          </w:p>
        </w:tc>
        <w:tc>
          <w:tcPr>
            <w:tcW w:w="1620" w:type="dxa"/>
            <w:vAlign w:val="center"/>
          </w:tcPr>
          <w:p w14:paraId="5B236389"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sz w:val="24"/>
              </w:rPr>
              <w:t>Sở Xây dựng Điện Biên (văn bản số 2247/SXD-QLVT&amp;ATGT ngày 11/5/2026)</w:t>
            </w:r>
          </w:p>
        </w:tc>
        <w:tc>
          <w:tcPr>
            <w:tcW w:w="8872" w:type="dxa"/>
            <w:vAlign w:val="center"/>
          </w:tcPr>
          <w:p w14:paraId="77AE6844" w14:textId="77777777" w:rsidR="00137B24" w:rsidRPr="000F1EC3" w:rsidRDefault="00137B24" w:rsidP="00137B24">
            <w:pPr>
              <w:spacing w:before="20" w:after="20"/>
              <w:jc w:val="both"/>
              <w:rPr>
                <w:rStyle w:val="fontstyle21"/>
                <w:rFonts w:ascii="Times New Roman" w:hAnsi="Times New Roman"/>
                <w:color w:val="auto"/>
                <w:sz w:val="24"/>
                <w:szCs w:val="24"/>
              </w:rPr>
            </w:pPr>
            <w:r w:rsidRPr="000F1EC3">
              <w:rPr>
                <w:rFonts w:ascii="Times New Roman" w:hAnsi="Times New Roman"/>
                <w:sz w:val="24"/>
              </w:rPr>
              <w:t>- Đề nghị chỉnh sửa thành “Điều khoản thi hành” để bảo đảm phù hợp với nội dung được quy định trong Điều 188</w:t>
            </w:r>
          </w:p>
        </w:tc>
        <w:tc>
          <w:tcPr>
            <w:tcW w:w="2793" w:type="dxa"/>
            <w:vAlign w:val="center"/>
          </w:tcPr>
          <w:p w14:paraId="78E2EF50" w14:textId="6C1C2CB4"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rà soát, chỉnh sửa.</w:t>
            </w:r>
          </w:p>
        </w:tc>
      </w:tr>
      <w:tr w:rsidR="00137B24" w:rsidRPr="000F1EC3" w14:paraId="3C684406" w14:textId="77777777" w:rsidTr="001B580E">
        <w:trPr>
          <w:gridAfter w:val="1"/>
          <w:wAfter w:w="8" w:type="dxa"/>
        </w:trPr>
        <w:tc>
          <w:tcPr>
            <w:tcW w:w="914" w:type="dxa"/>
            <w:vMerge/>
            <w:vAlign w:val="center"/>
          </w:tcPr>
          <w:p w14:paraId="6BB330F8"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546A87F0"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15EDE71E"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Hiệp hội Cảng biển Việt Nam (văn bản số 84/VPA-BC ngày 11/5/2026)</w:t>
            </w:r>
          </w:p>
        </w:tc>
        <w:tc>
          <w:tcPr>
            <w:tcW w:w="8872" w:type="dxa"/>
            <w:vAlign w:val="center"/>
          </w:tcPr>
          <w:p w14:paraId="62C83713"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Đề xuất: Bổ sung điều khoản chuyển tiếp cho dự án, hợp đồng, giấy phép, giấy chứng nhận, hồ sơ đăng ký/đăng kiểm, chứng chỉ thuyền viên, giá dịch vụ, hệ thống công nghệ đã vận hành hợp pháp trước ngày Bộ luật có hiệu lực. Các nghĩa vụ mới nên có lộ trình tối thiểu 12-24 tháng, hoặc dài hơn đối với đầu tư hạ tầng, đội tàu, thiết bị, hệ thống dữ liệu. </w:t>
            </w:r>
          </w:p>
          <w:p w14:paraId="35F5B130"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Diễn giải: Dự thảo có nhiều nghĩa vụ mới về dữ liệu, phát thải, số hóa, tiêu chuẩn xanh, đăng kiểm, giá/phụ thu, quản lý cảng/bến. Nếu áp dụng ngay sẽ gây xáo trộn cho doanh nghiệp.</w:t>
            </w:r>
          </w:p>
        </w:tc>
        <w:tc>
          <w:tcPr>
            <w:tcW w:w="2793" w:type="dxa"/>
            <w:vAlign w:val="center"/>
          </w:tcPr>
          <w:p w14:paraId="2D9B5DBF" w14:textId="60EC2486"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Nội dung được dự kiến quy định tại các văn bản hướng dẫn thi hành.</w:t>
            </w:r>
          </w:p>
        </w:tc>
      </w:tr>
      <w:tr w:rsidR="00137B24" w:rsidRPr="000F1EC3" w14:paraId="71E4A39D" w14:textId="77777777" w:rsidTr="001B580E">
        <w:trPr>
          <w:gridAfter w:val="1"/>
          <w:wAfter w:w="8" w:type="dxa"/>
        </w:trPr>
        <w:tc>
          <w:tcPr>
            <w:tcW w:w="914" w:type="dxa"/>
            <w:vMerge/>
            <w:vAlign w:val="center"/>
          </w:tcPr>
          <w:p w14:paraId="070679A4" w14:textId="77777777" w:rsidR="00137B24" w:rsidRPr="000F1EC3" w:rsidRDefault="00137B24" w:rsidP="00137B24">
            <w:pPr>
              <w:spacing w:before="20" w:after="20"/>
              <w:jc w:val="both"/>
              <w:rPr>
                <w:rFonts w:ascii="Times New Roman" w:hAnsi="Times New Roman"/>
                <w:b/>
                <w:bCs/>
                <w:sz w:val="24"/>
              </w:rPr>
            </w:pPr>
          </w:p>
        </w:tc>
        <w:tc>
          <w:tcPr>
            <w:tcW w:w="992" w:type="dxa"/>
            <w:vMerge/>
            <w:vAlign w:val="center"/>
          </w:tcPr>
          <w:p w14:paraId="1E754BCB"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14E95B9A" w14:textId="77777777" w:rsidR="00137B24" w:rsidRPr="000F1EC3" w:rsidRDefault="00137B24" w:rsidP="00137B24">
            <w:pPr>
              <w:spacing w:before="20" w:after="20"/>
              <w:jc w:val="center"/>
              <w:rPr>
                <w:rFonts w:ascii="Times New Roman" w:hAnsi="Times New Roman"/>
                <w:b/>
                <w:sz w:val="24"/>
              </w:rPr>
            </w:pPr>
            <w:r w:rsidRPr="000F1EC3">
              <w:rPr>
                <w:rFonts w:ascii="Times New Roman" w:hAnsi="Times New Roman"/>
                <w:b/>
                <w:bCs/>
                <w:sz w:val="24"/>
              </w:rPr>
              <w:t>Bộ Văn hóa, thể thao và du lịch (văn bản số 2655/BVHTTDL-PC ngày 13/5/2026)</w:t>
            </w:r>
          </w:p>
        </w:tc>
        <w:tc>
          <w:tcPr>
            <w:tcW w:w="8872" w:type="dxa"/>
            <w:vAlign w:val="center"/>
          </w:tcPr>
          <w:p w14:paraId="576BE6E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Cần xem xét có điều khoản chuyển tiếp (nếu xét thấy cần thiết) để bảo đảm việc áp dụng pháp luật được thông suốt, tránh các khó khăn, vướng mắc có thể phát sinh.</w:t>
            </w:r>
          </w:p>
        </w:tc>
        <w:tc>
          <w:tcPr>
            <w:tcW w:w="2793" w:type="dxa"/>
            <w:vAlign w:val="center"/>
          </w:tcPr>
          <w:p w14:paraId="61862274" w14:textId="63664AE8"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bổ sung tại Điều 139 dự thảo</w:t>
            </w:r>
          </w:p>
        </w:tc>
      </w:tr>
      <w:tr w:rsidR="00137B24" w:rsidRPr="000F1EC3" w14:paraId="5EF2467B" w14:textId="77777777" w:rsidTr="001B580E">
        <w:tc>
          <w:tcPr>
            <w:tcW w:w="914" w:type="dxa"/>
            <w:vAlign w:val="center"/>
          </w:tcPr>
          <w:p w14:paraId="6B65B851" w14:textId="59CA15DD"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lastRenderedPageBreak/>
              <w:t>II</w:t>
            </w:r>
            <w:r w:rsidR="000A2023">
              <w:rPr>
                <w:rFonts w:ascii="Times New Roman" w:hAnsi="Times New Roman"/>
                <w:b/>
                <w:bCs/>
                <w:sz w:val="24"/>
              </w:rPr>
              <w:t>I</w:t>
            </w:r>
          </w:p>
        </w:tc>
        <w:tc>
          <w:tcPr>
            <w:tcW w:w="14285" w:type="dxa"/>
            <w:gridSpan w:val="5"/>
            <w:vAlign w:val="center"/>
          </w:tcPr>
          <w:p w14:paraId="385CE60D" w14:textId="77777777" w:rsidR="00137B24" w:rsidRPr="000A2023" w:rsidRDefault="00137B24" w:rsidP="00137B24">
            <w:pPr>
              <w:spacing w:before="20" w:after="20"/>
              <w:jc w:val="both"/>
              <w:rPr>
                <w:rFonts w:ascii="Times New Roman" w:hAnsi="Times New Roman"/>
                <w:b/>
                <w:sz w:val="24"/>
              </w:rPr>
            </w:pPr>
            <w:r w:rsidRPr="000A2023">
              <w:rPr>
                <w:rFonts w:ascii="Times New Roman" w:hAnsi="Times New Roman"/>
                <w:b/>
                <w:sz w:val="24"/>
              </w:rPr>
              <w:t>Đối với dự thảo Tờ trình</w:t>
            </w:r>
          </w:p>
        </w:tc>
      </w:tr>
      <w:tr w:rsidR="00137B24" w:rsidRPr="000F1EC3" w14:paraId="44B8985B" w14:textId="77777777" w:rsidTr="001B580E">
        <w:trPr>
          <w:gridAfter w:val="1"/>
          <w:wAfter w:w="8" w:type="dxa"/>
        </w:trPr>
        <w:tc>
          <w:tcPr>
            <w:tcW w:w="914" w:type="dxa"/>
            <w:vAlign w:val="center"/>
          </w:tcPr>
          <w:p w14:paraId="0EFAF760" w14:textId="77777777" w:rsidR="00137B24" w:rsidRPr="000A2023" w:rsidRDefault="00137B24" w:rsidP="000A2023">
            <w:pPr>
              <w:pStyle w:val="ListParagraph"/>
              <w:numPr>
                <w:ilvl w:val="0"/>
                <w:numId w:val="20"/>
              </w:numPr>
              <w:spacing w:before="20" w:after="20"/>
              <w:jc w:val="both"/>
              <w:rPr>
                <w:rFonts w:ascii="Times New Roman" w:hAnsi="Times New Roman"/>
                <w:b/>
                <w:bCs/>
                <w:sz w:val="24"/>
              </w:rPr>
            </w:pPr>
          </w:p>
        </w:tc>
        <w:tc>
          <w:tcPr>
            <w:tcW w:w="992" w:type="dxa"/>
            <w:vAlign w:val="center"/>
          </w:tcPr>
          <w:p w14:paraId="4CF0D4F2"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4E263529"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2AD2394B"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1. Về sự cần thiết ban hành Bộ luật: Tờ trình đã nêu tương đối đầy đủ cơ sở chính trị, pháp lý và thực tiễn. Tuy nhiên, phần lập luận về sự cần thiết hợp nhất hai lĩnh vực “hàng hải” và “đường thủy nội địa” cần được phân tích sâu hơn. Đề nghị tinh gọn theo hướng lựa chọn các chủ trương, nghị quyết có liên quan trực tiếp đến phát triển kinh tế biển, 2 logistics, chuyển đổi số, chuyển đổi xanh và cải cách thể chế để tăng tính tập trung, thuyết phục. Hiện nay, hoạt động hàng hải mang tính quốc tế hóa rất cao, chịu sự điều chỉnh mạnh của các công ước quốc tế, tập quán hàng hải quốc tế và nguyên tắc tự do hàng hải. Trong khi đó, giao thông đường thủy nội địa mang đậm tính quản lý hành chính lãnh thổ, an toàn giao thông và khai thác hạ tầng nội địa. Do đó, cơ quan soạn thảo cần làm rõ: Cơ sở khoa học của việc hợp nhất hai hệ thống pháp luật có tính chất pháp lý khác biệt; đánh giá chi phí chuyển đổi hệ thống pháp luật, bộ máy quản lý, cơ sở dữ liệu và thủ tục hành chính; phân tích khả năng phát sinh xung đột giữa nguyên tắc pháp luật hàng hải quốc tế với cơ chế quản lý hành chính đường thủy nội địa. Nếu không làm rõ, Bộ luật có nguy cơ trở thành một “siêu luật” với phạm vi điều chỉnh quá rộng nhưng thiếu chiều sâu và tính đồng bộ.</w:t>
            </w:r>
          </w:p>
          <w:p w14:paraId="5DECAC1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2. Về cơ sở thực tiễn:</w:t>
            </w:r>
          </w:p>
          <w:p w14:paraId="5B92D0E3"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 Phần đánh giá bất cập còn dài, lặp ý giữa lĩnh vực hàng hải và đường thủy nội địa. Đề nghị biên tập theo nhóm vấn đề chung như: quản lý hạ tầng; quản lý cảng, bến; quản lý phương tiện; nhân lực; chuyển đổi xanh; chuyển đổi số; nội luật hóa điều ước quốc tế. Một số nội dung sử dụng nhiều nhận định định tính như “thực sự khẳng định vai trò”, “thách thức lớn”, “nguy cơ nghiêm trọng”… nhưng chưa kèm số liệu minh chứng. Đề nghị bổ sung số liệu về sản lượng vận tải, số lượng cảng, tỷ lệ logistics, tai nạn đường thủy, phát thải khí nhà kính hoặc chi phí tuân thủ pháp luật để tăng tính thực chứng.</w:t>
            </w:r>
          </w:p>
          <w:p w14:paraId="2A6468D6"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3. Về đánh giá tác động chính sách: Tờ trình chưa lượng hóa đầy đủ tác động kinh tế của việc hợp nhất pháp luật. Đề nghị bổ sung một số vấn đề sau: Đánh giá tác động tới doanh nghiệp logistics; tác động tới chi phí tuân thủ của doanh nghiệp vận tải thủy; tác động tới hoạt động cảng biển địa phương; tác động tới cơ chế phân cấp giữa trung ương và địa </w:t>
            </w:r>
            <w:r w:rsidRPr="000F1EC3">
              <w:rPr>
                <w:rFonts w:ascii="Times New Roman" w:hAnsi="Times New Roman"/>
                <w:sz w:val="24"/>
              </w:rPr>
              <w:lastRenderedPageBreak/>
              <w:t>phương; tác động tới hoạt động đăng kiểm, đăng ký tàu thuyền; tác động đối với việc hội nhập công ước IMO. Đồng thời, cần đánh giá rõ nguy cơ chồng chéo giữa Bộ luật này với: Luật Đất đai, Luật Quy hoạch, Luật Bảo vệ môi trường, Luật Tài nguyên, môi trường biển và hải đảo, Luật Biên giới quốc gia, Luật Quốc phòng, Luật Đầu tư, Luật Đầu tư theo phương thức đối tác công tư (PPP).</w:t>
            </w:r>
          </w:p>
          <w:p w14:paraId="6916A172"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4. Về chính sách phân quyền, phân cấp</w:t>
            </w:r>
          </w:p>
          <w:p w14:paraId="243C8C1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 - Tờ trình thể hiện xu hướng đẩy mạnh phân cấp cho địa phương. Đây là định hướng đúng nhưng cần phân biệt rõ: Phân quyền là chuyển giao thẩm quyền gắn với trách nhiệm độc lập; phân cấp chỉ là giao thực hiện trong khuôn khổ kiểm soát của trung ương. Dự thảo hiện còn một số nội dung chưa phân định rõ ràng giữa phân quyền và phân cấp. Đề nghị rà soát thống nhất toàn bộ dự thảo theo 3 đúng tinh thần Luật Tổ chức Chính phủ và Luật Tổ chức chính quyền địa phương. Cụ thể: Có thể thấy việc sử dụng chưa phân định rõ giữa phân quyền và phân cấp không chỉ ở chỗ dùng câu chữ chưa phù hợp, mà còn ở bản chất thiết kế thẩm quyền: nhiều nội dung được mô tả theo tinh thần “phân quyền cho địa phương”, nhưng cấu trúc pháp lý thực tế lại chỉ là “phân cấp thực hiện dưới sự kiểm soát chặt của trung ương”, như: </w:t>
            </w:r>
          </w:p>
          <w:p w14:paraId="41D77452"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Quy định về trách nhiệm của Ủy ban nhân dân cấp tỉnh đối với kết cấu hạ tầng hàng hải, đường thủy: Dự thảo quy định tại điểm c khoản 8 Điều 13:</w:t>
            </w:r>
          </w:p>
          <w:p w14:paraId="01965472"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“Ủy ban nhân dân cấp tỉnh tổ chức thực hiện quy hoạch chi tiết kết cấu hạ tầng hàng hải, đường thủy nội địa theo thẩm quyền; xây dựng và tổ chức thực hiện nội dung phương án phát triển kết cấu hạ tầng hàng hải, đường thủy nội địa trong quy hoạch tỉnh.” Về hình thức, quy định này tạo cảm giác đang “trao quyền” cho địa phương. Tuy nhiên, xét bản chất pháp lý thì đây chưa phải phân quyền thực chất vì: địa phương không có quyền quyết định chính sách độc lập; không có quyền thiết lập chuẩn kỹ thuật riêng; không có quyền điều chỉnh quy hoạch vượt khung trung ương; vẫn thực hiện “theo thẩm quyền” do trung ương xác lập (địa phương chỉ được tổ chức thực hiện trong phạm vi trung ương đã định trước). Đây là phân cấp thực hiện, không phải phân quyền. Nếu là phân quyền thực chất thì phải có: phạm vi tự quyết rõ ràng; trách nhiệm độc lập; cơ chế tự chịu trách nhiệm pháp lý; giảm phê duyệt hành chính từ Bộ.</w:t>
            </w:r>
          </w:p>
          <w:p w14:paraId="7F32470B"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Quy định về bảo trì kết cấu hạ tầng theo “phân cấp”:</w:t>
            </w:r>
          </w:p>
          <w:p w14:paraId="46DC629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Dự thảo quy định tại khoản 2 Điều 52: “Cơ quan quản lý nhà nước chuyên ngành, Ủy ban nhân dân cấp tỉnh thực hiện trách nhiệm bảo trì đối với kết cấu hạ tầng thuộc phạm vi quản lý theo phân cấp.” Điểm đáng chú ý là: dự thảo sử dụng đúng từ “phân cấp” ở đây, nhưng trong Tờ trình lại nhiều lần nhấn mạnh định hướng “đẩy mạnh phân quyền”. Trong khi </w:t>
            </w:r>
            <w:r w:rsidRPr="000F1EC3">
              <w:rPr>
                <w:rFonts w:ascii="Times New Roman" w:hAnsi="Times New Roman"/>
                <w:sz w:val="24"/>
              </w:rPr>
              <w:lastRenderedPageBreak/>
              <w:t>thực chất điều khoản này cho thấy trung ương vẫn xác lập phạm vi quản lý, địa phương chỉ được giao thực hiện nhiệm vụ bảo trì và không có quyền quyết định tiêu chuẩn hay nguồn lực độc lập. Tức là quyền lực gốc vẫn thuộc trung ương. Đây là mô hình “ủy quyền hành chính có kiểm soát”, chưa đạt tới phân quyền theo tinh thần cải cách quản trị hiện đại.</w:t>
            </w:r>
          </w:p>
          <w:p w14:paraId="0FBF07F6"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 + Thẩm quyền phân loại cảng, bến vẫn tập trung ở Bộ trưởng: Dự thảo quy định tại khoản 3 Điều 27 (Phương án 1): “Bộ trưởng Bộ Xây dựng, Bộ trưởng Bộ Quốc phòng, Bộ trưởng Bộ Công an căn cứ vào quy mô và phạm vi ảnh hưởng của cảng thủy nội địa thuộc thẩm quyền quản lý của mình, quy định tiêu chí phân loại cảng, bến, công bố danh mục cảng, bến thủy nội địa…”. Điều này cho thấy tiêu chí kỹ thuật, hệ thống phân loại, công bố danh mục vẫn do trung ương nắm giữ. Trong khi đó, địa phương chủ yếu thực hiện quản lý vận hành. Như vậy mô hình quản lý vẫn mang tính “tập quyền kỹ thuật”. Do đó, nếu Tờ trình diễn giải đây là “phân quyền mạnh cho địa phương” thì chưa thật chính xác về mặt khoa học pháp lý.</w:t>
            </w:r>
          </w:p>
          <w:p w14:paraId="2EA11853"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Quan hệ “xin - chấp thuận” vẫn tồn tại khá đậm: Nhiều điều khoản trong Dự thảo vẫn thiết kế theo logic: địa phương đề xuất, cơ quan trung ương xem xét, Bộ trưởng quyết định, Thủ tướng phê duyệt. Ví dụ khoản 3 Điều 19 quy định: “Thủ tướng Chính phủ quyết định xếp loại cảng biển và công bố Danh mục cảng biển theo đề nghị của Bộ trưởng Bộ Xây dựng.” Cấu trúc này cho thấy quyền quyết định cuối cùng vẫn tập trung ở trung ương; địa phương không có quyền quyết định độc lập đối với tài sản hạ tầng trên địa bàn. Đây rõ ràng là cơ chế quản lý theo phân cấp hành chính, không phải phân quyền. Để tránh lẫn lộn giữa “phân quyền” và “phân cấp”, đề nghị nên:</w:t>
            </w:r>
          </w:p>
          <w:p w14:paraId="752EE53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 Chuẩn hóa thuật ngữ trong toàn Bộ luật: Nếu chỉ giao địa phương thực hiện nhiệm vụ trong khuôn khổ trung ương quyết định thì nên dùng: “phân cấp”, “giao nhiệm vụ”, “ủy quyền thực hiện”. Không nên gọi là “phân quyền”. </w:t>
            </w:r>
          </w:p>
          <w:p w14:paraId="231C709C"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 Nếu muốn phân quyền thực chất thì phải trao: quyền quyết định, quyền ngân sách, quyền chịu trách nhiệm độc lập, quyền lựa chọn mô hình quản lý phù hợp địa phương. </w:t>
            </w:r>
          </w:p>
          <w:p w14:paraId="1518CD71"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 Hạn chế cơ chế “xin - cho”: Một Bộ luật hiện đại nên chuyển từ “địa phương đề xuất - trung ương phê duyệt” sang “địa phương tự quyết trong khung tiêu chuẩn quốc gia”. Đây là tinh thần của quản trị hiện đại và Nhà nước pháp quyền kiến tạo phát triển. </w:t>
            </w:r>
          </w:p>
          <w:p w14:paraId="738E2770"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Đề nghị làm rõ trách nhiệm quản lý giữa trung ương và địa phương tại khu vực giao thoa cảng biển - cảng thủy nội địa nhằm tránh chồng chéo thẩm quyền. Đối với việc giao nhiều nội dung cho Chính phủ quy định chi tiết, cần rà soát bảo đảm đúng yêu cầu của Luật Ban hành văn bản quy phạm pháp luật năm 2025; tránh quy định khung quá rộng làm giảm tính ổn định của Bộ luật.</w:t>
            </w:r>
          </w:p>
          <w:p w14:paraId="2F8BE727"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 xml:space="preserve">5. Về chuyển đổi xanh và chuyển đổi số </w:t>
            </w:r>
          </w:p>
          <w:p w14:paraId="252F9990"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Đây là điểm mới tích cực của dự thảo. Tuy nhiên, đề nghị bổ sung lộ trình thực hiện phù hợp với điều kiện doanh nghiệp vận tải thủy trong nước, nhất là doanh nghiệp nhỏ và vừa; tránh phát sinh chi phí tuân thủ quá lớn trong thời gian ngắn. Đồng thời, cần làm rõ cơ chế ưu đãi, hỗ trợ chuyển đổi đối với tàu sử dụng nhiên liệu sạch, cảng xanh, logistics xanh và ứng dụng công nghệ số trong quản lý vận tải thủy. </w:t>
            </w:r>
          </w:p>
          <w:p w14:paraId="2E22ED5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6. Về kỹ thuật lập pháp và văn phong </w:t>
            </w:r>
          </w:p>
          <w:p w14:paraId="0CF8467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Tờ trình còn nhiều đoạn diễn đạt dài, mang tính báo cáo, học thuật; một số nội dung lặp lại giữa các mục. Đề nghị xây dựng theo hướng ngắn gọn, rõ ý, tăng tính quy phạm và tính logic của lập luận. Ngoài ra, cần rà soát thống nhất thuật ngữ trong toàn bộ hồ sơ như: “tàu sông”, “tàu thủy nội địa”, “vùng nước cảng biển”, “cảng, bến thủy nội địa”, “giao thông vận tải đường thủy” để tránh cách hiểu khác nhau trong quá trình áp dụng pháp luật.</w:t>
            </w:r>
          </w:p>
        </w:tc>
        <w:tc>
          <w:tcPr>
            <w:tcW w:w="2793" w:type="dxa"/>
            <w:vAlign w:val="center"/>
          </w:tcPr>
          <w:p w14:paraId="2BB47350" w14:textId="729FF1DB"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Tiếp thu, rà soát, chỉnh sửa</w:t>
            </w:r>
          </w:p>
        </w:tc>
      </w:tr>
      <w:tr w:rsidR="00137B24" w:rsidRPr="000F1EC3" w14:paraId="6E7BA864" w14:textId="77777777" w:rsidTr="001B580E">
        <w:trPr>
          <w:gridAfter w:val="1"/>
          <w:wAfter w:w="8" w:type="dxa"/>
        </w:trPr>
        <w:tc>
          <w:tcPr>
            <w:tcW w:w="914" w:type="dxa"/>
            <w:vAlign w:val="center"/>
          </w:tcPr>
          <w:p w14:paraId="78B9C228" w14:textId="77777777" w:rsidR="00137B24" w:rsidRPr="000A2023" w:rsidRDefault="00137B24" w:rsidP="000A2023">
            <w:pPr>
              <w:pStyle w:val="ListParagraph"/>
              <w:numPr>
                <w:ilvl w:val="0"/>
                <w:numId w:val="20"/>
              </w:numPr>
              <w:spacing w:before="20" w:after="20"/>
              <w:jc w:val="both"/>
              <w:rPr>
                <w:rFonts w:ascii="Times New Roman" w:hAnsi="Times New Roman"/>
                <w:b/>
                <w:bCs/>
                <w:sz w:val="24"/>
              </w:rPr>
            </w:pPr>
          </w:p>
        </w:tc>
        <w:tc>
          <w:tcPr>
            <w:tcW w:w="992" w:type="dxa"/>
            <w:vAlign w:val="center"/>
          </w:tcPr>
          <w:p w14:paraId="095A7657"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6E7A9A2E"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Công ty TNHH MTV Thông tin điện tử hàng hải Việt Nam (văn bản số 1657/VISIPEL-KHĐT ngày 8/5/2026)</w:t>
            </w:r>
          </w:p>
        </w:tc>
        <w:tc>
          <w:tcPr>
            <w:tcW w:w="8872" w:type="dxa"/>
            <w:vAlign w:val="center"/>
          </w:tcPr>
          <w:p w14:paraId="7079C7DA"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chỉnh sửa “hệ thống giám sát toàn cầu (GMDSS)" tại trang 9 dự thảo Tờ trình và tại trang 91 dự thảo Báo cáo thành: “hệ thống cấp cứu và an toàn hàng hải toàn cầu (GMDSS)". Lý do: Theo Chương 4 của Công ước quốc tế về an toàn sinh mạng con người trên biển (SOLAS 74/88) GMDSS là từ viết tắt của Global Maritime Distress and Safety System.</w:t>
            </w:r>
          </w:p>
        </w:tc>
        <w:tc>
          <w:tcPr>
            <w:tcW w:w="2793" w:type="dxa"/>
            <w:vAlign w:val="center"/>
          </w:tcPr>
          <w:p w14:paraId="0AF4DAD4" w14:textId="69D83206"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w:t>
            </w:r>
          </w:p>
        </w:tc>
      </w:tr>
      <w:tr w:rsidR="00137B24" w:rsidRPr="000F1EC3" w14:paraId="400EB3D1" w14:textId="77777777" w:rsidTr="001B580E">
        <w:tc>
          <w:tcPr>
            <w:tcW w:w="914" w:type="dxa"/>
            <w:vAlign w:val="center"/>
          </w:tcPr>
          <w:p w14:paraId="6631D6FE" w14:textId="69B28838"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I</w:t>
            </w:r>
            <w:r w:rsidR="000A2023">
              <w:rPr>
                <w:rFonts w:ascii="Times New Roman" w:hAnsi="Times New Roman"/>
                <w:b/>
                <w:bCs/>
                <w:sz w:val="24"/>
              </w:rPr>
              <w:t>V</w:t>
            </w:r>
          </w:p>
        </w:tc>
        <w:tc>
          <w:tcPr>
            <w:tcW w:w="14285" w:type="dxa"/>
            <w:gridSpan w:val="5"/>
            <w:vAlign w:val="center"/>
          </w:tcPr>
          <w:p w14:paraId="2111B9B9" w14:textId="15060F26" w:rsidR="00137B24" w:rsidRPr="000F1EC3" w:rsidRDefault="000A2023" w:rsidP="00137B24">
            <w:pPr>
              <w:spacing w:before="20" w:after="20"/>
              <w:jc w:val="both"/>
              <w:rPr>
                <w:rFonts w:ascii="Times New Roman" w:hAnsi="Times New Roman"/>
                <w:b/>
                <w:bCs/>
                <w:sz w:val="24"/>
              </w:rPr>
            </w:pPr>
            <w:r>
              <w:rPr>
                <w:rFonts w:ascii="Times New Roman" w:hAnsi="Times New Roman"/>
                <w:b/>
                <w:bCs/>
                <w:sz w:val="24"/>
              </w:rPr>
              <w:t>Đối với b</w:t>
            </w:r>
            <w:r w:rsidR="00137B24" w:rsidRPr="000F1EC3">
              <w:rPr>
                <w:rFonts w:ascii="Times New Roman" w:hAnsi="Times New Roman"/>
                <w:b/>
                <w:bCs/>
                <w:sz w:val="24"/>
              </w:rPr>
              <w:t>áo cáo tổng kết</w:t>
            </w:r>
            <w:r>
              <w:rPr>
                <w:rFonts w:ascii="Times New Roman" w:hAnsi="Times New Roman"/>
                <w:b/>
                <w:bCs/>
                <w:sz w:val="24"/>
              </w:rPr>
              <w:t xml:space="preserve"> Bộ luật Hàng hải Việt Nam và Luật Giao thông đường thủy nội địa</w:t>
            </w:r>
          </w:p>
        </w:tc>
      </w:tr>
      <w:tr w:rsidR="00137B24" w:rsidRPr="000F1EC3" w14:paraId="1E27A7B7" w14:textId="77777777" w:rsidTr="001B580E">
        <w:trPr>
          <w:gridAfter w:val="1"/>
          <w:wAfter w:w="8" w:type="dxa"/>
        </w:trPr>
        <w:tc>
          <w:tcPr>
            <w:tcW w:w="914" w:type="dxa"/>
            <w:vAlign w:val="center"/>
          </w:tcPr>
          <w:p w14:paraId="0F1528F4" w14:textId="77777777" w:rsidR="00137B24" w:rsidRPr="000A2023" w:rsidRDefault="00137B24" w:rsidP="000A2023">
            <w:pPr>
              <w:pStyle w:val="ListParagraph"/>
              <w:numPr>
                <w:ilvl w:val="0"/>
                <w:numId w:val="21"/>
              </w:numPr>
              <w:spacing w:before="20" w:after="20"/>
              <w:jc w:val="both"/>
              <w:rPr>
                <w:rFonts w:ascii="Times New Roman" w:hAnsi="Times New Roman"/>
                <w:b/>
                <w:bCs/>
                <w:sz w:val="24"/>
              </w:rPr>
            </w:pPr>
          </w:p>
        </w:tc>
        <w:tc>
          <w:tcPr>
            <w:tcW w:w="992" w:type="dxa"/>
            <w:vAlign w:val="center"/>
          </w:tcPr>
          <w:p w14:paraId="39D0CBD1"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1A27ED17"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Công ty TNHH MTV Thông tin điện tử hàng hải Việt Nam (văn bản số 1657/VISIPEL-KHĐT ngày 8/5/2026)</w:t>
            </w:r>
          </w:p>
        </w:tc>
        <w:tc>
          <w:tcPr>
            <w:tcW w:w="8872" w:type="dxa"/>
            <w:vAlign w:val="center"/>
          </w:tcPr>
          <w:p w14:paraId="08BF4EDF"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Đề nghị chỉnh sửa “hệ thống giám sát toàn cầu (GMDSS)" tại trang 9 dự thảo Tờ trình và tại trang 91 dự thảo Báo cáo thành: “hệ thống cấp cứu và an toàn hàng hải toàn cầu (GMDSS)". Lý do: Theo Chương 4 của Công ước quốc tế về an toàn sinh mạng con người trên biển (SOLAS 74/88) GMDSS là từ viết tắt của Global Maritime Distress and Safety System.</w:t>
            </w:r>
          </w:p>
        </w:tc>
        <w:tc>
          <w:tcPr>
            <w:tcW w:w="2793" w:type="dxa"/>
            <w:vAlign w:val="center"/>
          </w:tcPr>
          <w:p w14:paraId="2E416760" w14:textId="7D5C5AA3"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w:t>
            </w:r>
          </w:p>
        </w:tc>
      </w:tr>
      <w:tr w:rsidR="00137B24" w:rsidRPr="000F1EC3" w14:paraId="73A7E417" w14:textId="77777777" w:rsidTr="001B580E">
        <w:trPr>
          <w:gridAfter w:val="1"/>
          <w:wAfter w:w="8" w:type="dxa"/>
        </w:trPr>
        <w:tc>
          <w:tcPr>
            <w:tcW w:w="914" w:type="dxa"/>
            <w:vAlign w:val="center"/>
          </w:tcPr>
          <w:p w14:paraId="7259E926" w14:textId="77777777" w:rsidR="00137B24" w:rsidRPr="000F1EC3" w:rsidRDefault="00137B24" w:rsidP="00137B24">
            <w:pPr>
              <w:spacing w:before="20" w:after="20"/>
              <w:jc w:val="both"/>
              <w:rPr>
                <w:rFonts w:ascii="Times New Roman" w:hAnsi="Times New Roman"/>
                <w:b/>
                <w:bCs/>
                <w:sz w:val="24"/>
              </w:rPr>
            </w:pPr>
          </w:p>
        </w:tc>
        <w:tc>
          <w:tcPr>
            <w:tcW w:w="992" w:type="dxa"/>
            <w:vAlign w:val="center"/>
          </w:tcPr>
          <w:p w14:paraId="7E52568E"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37CF7A40"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2D91BC0C"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Báo cáo đã phản ánh tương đối đầy đủ bối cảnh quốc tế và thực tiễn thi hành pháp luật. Tuy nhiên: - Chưa đánh giá đầy đủ tính đồng bộ của hệ thống pháp luật có liên quan. Hiện nay, hoạt động hàng hải, cảng biển, logistics và giao thông đường thủy nội địa chịu sự điều chỉnh đồng thời của nhiều luật chuyên ngành như Luật Đất đai, Luật Quy hoạch, Luật Đầu tư, Luật Đầu tư theo phương thức đối tác công tư 6 (PPP), Luật Bảo vệ môi trường, Luật Tài nguyên, môi trường biển và hải đảo, Luật Giao dịch điện tử, Luật Dữ liệu… Tuy nhiên, Báo cáo chưa phân tích sâu các điểm giao thoa, chồng chéo hoặc xung đột pháp luật trong thực tiễn triển khai dự án cảng biển, luồng tuyến, logistics và quản lý vùng nước. </w:t>
            </w:r>
          </w:p>
          <w:p w14:paraId="4AE7E72F"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Chưa lượng hóa đầy đủ tồn tại, hạn chế. Đề nghị bổ sung số liệu về: Tỷ lệ thủ tục chậm xử lý; tỷ lệ tai nạn đường thủy; tỷ lệ sự cố môi trường; tỷ lệ số hóa thủ tục; chi phí logistics đường thủy; năng lực cạnh tranh cảng biển cho đầy đủ hơn.</w:t>
            </w:r>
          </w:p>
          <w:p w14:paraId="3D9CD336"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 Nội dung đánh giá tác động về chi phí tuân thủ pháp luật còn sơ lược, chủ yếu dừng ở mô tả chính sách. Đề nghị bổ sung các số liệu định lượng về thời gian thực hiện thủ tục hành chính, chi phí logistics, chi phí chuyển đổi số, chi phí đáp ứng tiêu chuẩn môi trường quốc tế và mức độ cắt giảm thủ tục hành chính qua từng giai đoạn để tăng tính thực chứng của Báo cáo. </w:t>
            </w:r>
          </w:p>
          <w:p w14:paraId="445F8FFD"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Chưa đánh giá rõ trách nhiệm tổ chức thực hiện. Nhiều bất cập hiện nay không chỉ do pháp luật mà còn do: năng lực thực thi, phân tán quản lý, thiếu dữ liệu, đầu tư hạ tầng chưa đồng bộ. Nếu chỉ sửa luật mà không đồng thời cải cách quản trị thì hiệu quả sẽ hạn chế. Đề nghị cơ quan soạn thảo nghiên cứu, bổ sung.</w:t>
            </w:r>
          </w:p>
        </w:tc>
        <w:tc>
          <w:tcPr>
            <w:tcW w:w="2793" w:type="dxa"/>
            <w:vAlign w:val="center"/>
          </w:tcPr>
          <w:p w14:paraId="2123C0CB" w14:textId="670F94F2"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Tiếp thu, chỉnh sửa</w:t>
            </w:r>
          </w:p>
        </w:tc>
      </w:tr>
      <w:tr w:rsidR="00137B24" w:rsidRPr="000F1EC3" w14:paraId="3D375CC4" w14:textId="77777777" w:rsidTr="001B580E">
        <w:tc>
          <w:tcPr>
            <w:tcW w:w="914" w:type="dxa"/>
            <w:vAlign w:val="center"/>
          </w:tcPr>
          <w:p w14:paraId="0AE636FA" w14:textId="2DBD8154" w:rsidR="00137B24" w:rsidRPr="000F1EC3" w:rsidRDefault="003022DE" w:rsidP="00137B24">
            <w:pPr>
              <w:spacing w:before="20" w:after="20"/>
              <w:jc w:val="both"/>
              <w:rPr>
                <w:rFonts w:ascii="Times New Roman" w:hAnsi="Times New Roman"/>
                <w:b/>
                <w:bCs/>
                <w:sz w:val="24"/>
              </w:rPr>
            </w:pPr>
            <w:r w:rsidRPr="000F1EC3">
              <w:rPr>
                <w:rFonts w:ascii="Times New Roman" w:hAnsi="Times New Roman"/>
                <w:b/>
                <w:bCs/>
                <w:sz w:val="24"/>
              </w:rPr>
              <w:t>V</w:t>
            </w:r>
          </w:p>
        </w:tc>
        <w:tc>
          <w:tcPr>
            <w:tcW w:w="14285" w:type="dxa"/>
            <w:gridSpan w:val="5"/>
            <w:vAlign w:val="center"/>
          </w:tcPr>
          <w:p w14:paraId="3CD7C899" w14:textId="790F8D1F" w:rsidR="00137B24" w:rsidRPr="000F1EC3" w:rsidRDefault="00137B24" w:rsidP="00137B24">
            <w:pPr>
              <w:spacing w:before="20" w:after="20"/>
              <w:jc w:val="both"/>
              <w:rPr>
                <w:rFonts w:ascii="Times New Roman" w:hAnsi="Times New Roman"/>
                <w:b/>
                <w:bCs/>
                <w:sz w:val="24"/>
              </w:rPr>
            </w:pPr>
            <w:r w:rsidRPr="000F1EC3">
              <w:rPr>
                <w:rFonts w:ascii="Times New Roman" w:hAnsi="Times New Roman"/>
                <w:b/>
                <w:bCs/>
                <w:sz w:val="24"/>
              </w:rPr>
              <w:t>Báo cáo đánh giá tác động</w:t>
            </w:r>
            <w:r w:rsidR="000A2023">
              <w:rPr>
                <w:rFonts w:ascii="Times New Roman" w:hAnsi="Times New Roman"/>
                <w:b/>
                <w:bCs/>
                <w:sz w:val="24"/>
              </w:rPr>
              <w:t xml:space="preserve"> chính sách</w:t>
            </w:r>
          </w:p>
        </w:tc>
      </w:tr>
      <w:tr w:rsidR="00137B24" w:rsidRPr="000F1EC3" w14:paraId="1DF4940F" w14:textId="77777777" w:rsidTr="001B580E">
        <w:trPr>
          <w:gridAfter w:val="1"/>
          <w:wAfter w:w="8" w:type="dxa"/>
        </w:trPr>
        <w:tc>
          <w:tcPr>
            <w:tcW w:w="914" w:type="dxa"/>
            <w:vAlign w:val="center"/>
          </w:tcPr>
          <w:p w14:paraId="0FEE941D" w14:textId="77777777" w:rsidR="00137B24" w:rsidRPr="000A2023" w:rsidRDefault="00137B24" w:rsidP="000A2023">
            <w:pPr>
              <w:pStyle w:val="ListParagraph"/>
              <w:numPr>
                <w:ilvl w:val="0"/>
                <w:numId w:val="21"/>
              </w:numPr>
              <w:spacing w:before="20" w:after="20"/>
              <w:jc w:val="both"/>
              <w:rPr>
                <w:rFonts w:ascii="Times New Roman" w:hAnsi="Times New Roman"/>
                <w:b/>
                <w:bCs/>
                <w:sz w:val="24"/>
              </w:rPr>
            </w:pPr>
          </w:p>
        </w:tc>
        <w:tc>
          <w:tcPr>
            <w:tcW w:w="992" w:type="dxa"/>
            <w:vAlign w:val="center"/>
          </w:tcPr>
          <w:p w14:paraId="4EB4C5E5" w14:textId="77777777" w:rsidR="00137B24" w:rsidRPr="000F1EC3" w:rsidRDefault="00137B24" w:rsidP="00137B24">
            <w:pPr>
              <w:spacing w:before="20" w:after="20"/>
              <w:jc w:val="both"/>
              <w:rPr>
                <w:rFonts w:ascii="Times New Roman" w:hAnsi="Times New Roman"/>
                <w:b/>
                <w:bCs/>
                <w:sz w:val="24"/>
              </w:rPr>
            </w:pPr>
          </w:p>
        </w:tc>
        <w:tc>
          <w:tcPr>
            <w:tcW w:w="1620" w:type="dxa"/>
            <w:vAlign w:val="center"/>
          </w:tcPr>
          <w:p w14:paraId="0818C639" w14:textId="77777777" w:rsidR="00137B24" w:rsidRPr="000F1EC3" w:rsidRDefault="00137B24" w:rsidP="00137B24">
            <w:pPr>
              <w:spacing w:before="20" w:after="20"/>
              <w:jc w:val="center"/>
              <w:rPr>
                <w:rFonts w:ascii="Times New Roman" w:hAnsi="Times New Roman"/>
                <w:b/>
                <w:bCs/>
                <w:sz w:val="24"/>
              </w:rPr>
            </w:pPr>
            <w:r w:rsidRPr="000F1EC3">
              <w:rPr>
                <w:rFonts w:ascii="Times New Roman" w:hAnsi="Times New Roman"/>
                <w:b/>
                <w:bCs/>
                <w:sz w:val="24"/>
              </w:rPr>
              <w:t>ĐBQH Hải Phòng (văn bản số 42/DBQH-CTQH ngày 12/5/2026)</w:t>
            </w:r>
          </w:p>
        </w:tc>
        <w:tc>
          <w:tcPr>
            <w:tcW w:w="8872" w:type="dxa"/>
            <w:vAlign w:val="center"/>
          </w:tcPr>
          <w:p w14:paraId="39793EFE"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1. Về đánh giá thủ tục hành chính </w:t>
            </w:r>
          </w:p>
          <w:p w14:paraId="7B725848"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Báo cáo mới chủ yếu mô tả chính sách, chưa đánh giá đầy đủ chi phí tuân thủ. Đề nghị bổ sung các số liệu về thời gian giải quyết thủ tục, chi phí tuân thủ, mức độ cắt giảm thủ tục hành chính, tỷ lệ thực hiện trực tuyến, khả năng liên thông dữ liệu giữa các cơ quan quản lý và doanh nghiệp nhằm tăng tính thuyết phục của hồ sơ đánh giá. </w:t>
            </w:r>
          </w:p>
          <w:p w14:paraId="6CB1C355"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2. Về phân quyền, phân cấp </w:t>
            </w:r>
          </w:p>
          <w:p w14:paraId="7A9F7369"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Báo cáo chưa đánh giá đầy đủ năng lực thực thi của địa phương. Nếu thực hiện phân cấp mạnh nhưng không bảo đảm về nhân lực, tài chính, dữ liệu, năng lực quản lý thì nguy cơ phân cấp hình thức là rất lớn. Đề nghị cơ quan soạn thảo nghiên cứu. </w:t>
            </w:r>
          </w:p>
          <w:p w14:paraId="521B73C3"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3. Về chuyển đổi số </w:t>
            </w:r>
          </w:p>
          <w:p w14:paraId="0234D9FC" w14:textId="77777777"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t xml:space="preserve">Báo cáo đã đề cập tới trí tuệ nhân tạo (AI), công nghệ lưu trữ dữ liệu phân tán, bảo mật bằng mật mã, cho phép ghi lại thông tin minh bạch, không thể sửa đổi (blockchain), cảng </w:t>
            </w:r>
            <w:r w:rsidRPr="000F1EC3">
              <w:rPr>
                <w:rFonts w:ascii="Times New Roman" w:hAnsi="Times New Roman"/>
                <w:sz w:val="24"/>
              </w:rPr>
              <w:lastRenderedPageBreak/>
              <w:t>thông minh nhưng còn thiên về mô tả xu thế. Đề nghị nghiên cứu, đánh giá sâu hơn các nội dung liên quan đến chuyển đổi số, cảng thông minh, vận đơn điện tử, cơ sở dữ liệu hàng hải, an ninh mạng và bảo mật dữ liệu trong hoạt động hàng hải, giao thông đường thủy nội địa; làm rõ các yêu cầu pháp lý đặt ra trong bối cảnh ứng dụng trí tuệ nhân tạo, blockchain và các nền tảng số trong quản lý, khai thác vận tải.</w:t>
            </w:r>
          </w:p>
        </w:tc>
        <w:tc>
          <w:tcPr>
            <w:tcW w:w="2793" w:type="dxa"/>
            <w:vAlign w:val="center"/>
          </w:tcPr>
          <w:p w14:paraId="409B395E" w14:textId="444C7725" w:rsidR="00137B24" w:rsidRPr="000F1EC3" w:rsidRDefault="00137B24" w:rsidP="00137B24">
            <w:pPr>
              <w:spacing w:before="20" w:after="20"/>
              <w:jc w:val="both"/>
              <w:rPr>
                <w:rFonts w:ascii="Times New Roman" w:hAnsi="Times New Roman"/>
                <w:sz w:val="24"/>
              </w:rPr>
            </w:pPr>
            <w:r w:rsidRPr="000F1EC3">
              <w:rPr>
                <w:rFonts w:ascii="Times New Roman" w:hAnsi="Times New Roman"/>
                <w:sz w:val="24"/>
              </w:rPr>
              <w:lastRenderedPageBreak/>
              <w:t>Tiếp thu, bổ sung</w:t>
            </w:r>
          </w:p>
        </w:tc>
      </w:tr>
    </w:tbl>
    <w:p w14:paraId="277A6FD4" w14:textId="77777777" w:rsidR="005E54B6" w:rsidRPr="000F1EC3" w:rsidRDefault="005E54B6" w:rsidP="005E54B6">
      <w:pPr>
        <w:jc w:val="both"/>
        <w:rPr>
          <w:rFonts w:ascii="Times New Roman" w:hAnsi="Times New Roman"/>
        </w:rPr>
      </w:pPr>
    </w:p>
    <w:p w14:paraId="04D68401" w14:textId="77777777" w:rsidR="00F3264B" w:rsidRPr="000F1EC3" w:rsidRDefault="00F3264B"/>
    <w:sectPr w:rsidR="00F3264B" w:rsidRPr="000F1EC3" w:rsidSect="005E54B6">
      <w:headerReference w:type="default" r:id="rId8"/>
      <w:footerReference w:type="even" r:id="rId9"/>
      <w:footerReference w:type="first" r:id="rId10"/>
      <w:pgSz w:w="16840" w:h="11907" w:orient="landscape" w:code="9"/>
      <w:pgMar w:top="1134" w:right="1134" w:bottom="1134" w:left="1701" w:header="425" w:footer="22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5E49A" w14:textId="77777777" w:rsidR="00857CDF" w:rsidRDefault="00857CDF">
      <w:r>
        <w:separator/>
      </w:r>
    </w:p>
  </w:endnote>
  <w:endnote w:type="continuationSeparator" w:id="0">
    <w:p w14:paraId="392F16E4" w14:textId="77777777" w:rsidR="00857CDF" w:rsidRDefault="00857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nTimeH">
    <w:altName w:val="Courier New"/>
    <w:charset w:val="00"/>
    <w:family w:val="swiss"/>
    <w:pitch w:val="variable"/>
    <w:sig w:usb0="00000001"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32E05" w14:textId="77777777" w:rsidR="00845D33" w:rsidRDefault="00845D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194C10" w14:textId="77777777" w:rsidR="00845D33" w:rsidRDefault="00845D3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74508" w14:textId="77777777" w:rsidR="00845D33" w:rsidRPr="00464FEB" w:rsidRDefault="00845D33">
    <w:pPr>
      <w:pStyle w:val="Footer"/>
      <w:jc w:val="center"/>
      <w:rPr>
        <w:rFonts w:ascii="Times New Roman" w:hAnsi="Times New Roman"/>
        <w:sz w:val="24"/>
      </w:rPr>
    </w:pPr>
  </w:p>
  <w:p w14:paraId="42100026" w14:textId="77777777" w:rsidR="00845D33" w:rsidRDefault="00845D3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FD04C" w14:textId="77777777" w:rsidR="00857CDF" w:rsidRDefault="00857CDF">
      <w:r>
        <w:separator/>
      </w:r>
    </w:p>
  </w:footnote>
  <w:footnote w:type="continuationSeparator" w:id="0">
    <w:p w14:paraId="2771D217" w14:textId="77777777" w:rsidR="00857CDF" w:rsidRDefault="00857C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5653392"/>
      <w:docPartObj>
        <w:docPartGallery w:val="Page Numbers (Top of Page)"/>
        <w:docPartUnique/>
      </w:docPartObj>
    </w:sdtPr>
    <w:sdtEndPr>
      <w:rPr>
        <w:rFonts w:ascii="Times New Roman" w:hAnsi="Times New Roman"/>
        <w:noProof/>
        <w:sz w:val="24"/>
      </w:rPr>
    </w:sdtEndPr>
    <w:sdtContent>
      <w:p w14:paraId="07620780" w14:textId="0789E405" w:rsidR="00845D33" w:rsidRPr="006B7CD0" w:rsidRDefault="00845D33">
        <w:pPr>
          <w:pStyle w:val="Header"/>
          <w:jc w:val="center"/>
          <w:rPr>
            <w:rFonts w:ascii="Times New Roman" w:hAnsi="Times New Roman"/>
            <w:sz w:val="24"/>
          </w:rPr>
        </w:pPr>
        <w:r w:rsidRPr="006B7CD0">
          <w:rPr>
            <w:rFonts w:ascii="Times New Roman" w:hAnsi="Times New Roman"/>
            <w:sz w:val="24"/>
          </w:rPr>
          <w:fldChar w:fldCharType="begin"/>
        </w:r>
        <w:r w:rsidRPr="006B7CD0">
          <w:rPr>
            <w:rFonts w:ascii="Times New Roman" w:hAnsi="Times New Roman"/>
            <w:sz w:val="24"/>
          </w:rPr>
          <w:instrText xml:space="preserve"> PAGE   \* MERGEFORMAT </w:instrText>
        </w:r>
        <w:r w:rsidRPr="006B7CD0">
          <w:rPr>
            <w:rFonts w:ascii="Times New Roman" w:hAnsi="Times New Roman"/>
            <w:sz w:val="24"/>
          </w:rPr>
          <w:fldChar w:fldCharType="separate"/>
        </w:r>
        <w:r w:rsidR="000A2023">
          <w:rPr>
            <w:rFonts w:ascii="Times New Roman" w:hAnsi="Times New Roman"/>
            <w:noProof/>
            <w:sz w:val="24"/>
          </w:rPr>
          <w:t>22</w:t>
        </w:r>
        <w:r w:rsidRPr="006B7CD0">
          <w:rPr>
            <w:rFonts w:ascii="Times New Roman" w:hAnsi="Times New Roman"/>
            <w:noProof/>
            <w:sz w:val="24"/>
          </w:rPr>
          <w:fldChar w:fldCharType="end"/>
        </w:r>
      </w:p>
    </w:sdtContent>
  </w:sdt>
  <w:p w14:paraId="56C666E8" w14:textId="77777777" w:rsidR="00845D33" w:rsidRDefault="00845D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113F"/>
    <w:multiLevelType w:val="hybridMultilevel"/>
    <w:tmpl w:val="6A48A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52B06"/>
    <w:multiLevelType w:val="hybridMultilevel"/>
    <w:tmpl w:val="C708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D3CBD"/>
    <w:multiLevelType w:val="hybridMultilevel"/>
    <w:tmpl w:val="09C4E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B0040"/>
    <w:multiLevelType w:val="multilevel"/>
    <w:tmpl w:val="95FA0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D60A1"/>
    <w:multiLevelType w:val="hybridMultilevel"/>
    <w:tmpl w:val="2E944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A1F28"/>
    <w:multiLevelType w:val="hybridMultilevel"/>
    <w:tmpl w:val="6778F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34F27"/>
    <w:multiLevelType w:val="multilevel"/>
    <w:tmpl w:val="24CE536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1C616959"/>
    <w:multiLevelType w:val="multilevel"/>
    <w:tmpl w:val="932C7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92403C"/>
    <w:multiLevelType w:val="hybridMultilevel"/>
    <w:tmpl w:val="F170F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75CD5"/>
    <w:multiLevelType w:val="hybridMultilevel"/>
    <w:tmpl w:val="9B92D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2A290E"/>
    <w:multiLevelType w:val="multilevel"/>
    <w:tmpl w:val="6B064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83208A"/>
    <w:multiLevelType w:val="hybridMultilevel"/>
    <w:tmpl w:val="D3D2C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74750"/>
    <w:multiLevelType w:val="hybridMultilevel"/>
    <w:tmpl w:val="3C9C979A"/>
    <w:lvl w:ilvl="0" w:tplc="C8B44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C5655"/>
    <w:multiLevelType w:val="multilevel"/>
    <w:tmpl w:val="99D86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A315F4"/>
    <w:multiLevelType w:val="hybridMultilevel"/>
    <w:tmpl w:val="5BDEA68C"/>
    <w:lvl w:ilvl="0" w:tplc="9D6825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F2F51"/>
    <w:multiLevelType w:val="multilevel"/>
    <w:tmpl w:val="CA363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B35EA8"/>
    <w:multiLevelType w:val="hybridMultilevel"/>
    <w:tmpl w:val="BCA81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C3634"/>
    <w:multiLevelType w:val="hybridMultilevel"/>
    <w:tmpl w:val="5E80C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8B792B"/>
    <w:multiLevelType w:val="hybridMultilevel"/>
    <w:tmpl w:val="A77A6410"/>
    <w:lvl w:ilvl="0" w:tplc="69E2625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B04CF0"/>
    <w:multiLevelType w:val="hybridMultilevel"/>
    <w:tmpl w:val="9E489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B33895"/>
    <w:multiLevelType w:val="multilevel"/>
    <w:tmpl w:val="DCF6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3"/>
  </w:num>
  <w:num w:numId="4">
    <w:abstractNumId w:val="20"/>
  </w:num>
  <w:num w:numId="5">
    <w:abstractNumId w:val="13"/>
  </w:num>
  <w:num w:numId="6">
    <w:abstractNumId w:val="10"/>
  </w:num>
  <w:num w:numId="7">
    <w:abstractNumId w:val="9"/>
  </w:num>
  <w:num w:numId="8">
    <w:abstractNumId w:val="17"/>
  </w:num>
  <w:num w:numId="9">
    <w:abstractNumId w:val="8"/>
  </w:num>
  <w:num w:numId="10">
    <w:abstractNumId w:val="6"/>
  </w:num>
  <w:num w:numId="11">
    <w:abstractNumId w:val="14"/>
  </w:num>
  <w:num w:numId="12">
    <w:abstractNumId w:val="0"/>
  </w:num>
  <w:num w:numId="13">
    <w:abstractNumId w:val="16"/>
  </w:num>
  <w:num w:numId="14">
    <w:abstractNumId w:val="12"/>
  </w:num>
  <w:num w:numId="15">
    <w:abstractNumId w:val="18"/>
  </w:num>
  <w:num w:numId="16">
    <w:abstractNumId w:val="5"/>
  </w:num>
  <w:num w:numId="17">
    <w:abstractNumId w:val="2"/>
  </w:num>
  <w:num w:numId="18">
    <w:abstractNumId w:val="1"/>
  </w:num>
  <w:num w:numId="19">
    <w:abstractNumId w:val="11"/>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4B6"/>
    <w:rsid w:val="00082F69"/>
    <w:rsid w:val="000A2023"/>
    <w:rsid w:val="000B0760"/>
    <w:rsid w:val="000E7A15"/>
    <w:rsid w:val="000F1DE4"/>
    <w:rsid w:val="000F1EC3"/>
    <w:rsid w:val="00137B24"/>
    <w:rsid w:val="001B580E"/>
    <w:rsid w:val="0025418C"/>
    <w:rsid w:val="00264624"/>
    <w:rsid w:val="002E5BE4"/>
    <w:rsid w:val="002F0D49"/>
    <w:rsid w:val="003022DE"/>
    <w:rsid w:val="00367A47"/>
    <w:rsid w:val="003C72A0"/>
    <w:rsid w:val="00414034"/>
    <w:rsid w:val="00425B04"/>
    <w:rsid w:val="00443D4B"/>
    <w:rsid w:val="00472C5A"/>
    <w:rsid w:val="00514CAC"/>
    <w:rsid w:val="005E54B6"/>
    <w:rsid w:val="00614C2F"/>
    <w:rsid w:val="00631451"/>
    <w:rsid w:val="00676ED1"/>
    <w:rsid w:val="00703977"/>
    <w:rsid w:val="007154D3"/>
    <w:rsid w:val="0072409B"/>
    <w:rsid w:val="00747504"/>
    <w:rsid w:val="00785ABE"/>
    <w:rsid w:val="0081493C"/>
    <w:rsid w:val="00845D33"/>
    <w:rsid w:val="00857CDF"/>
    <w:rsid w:val="0087479E"/>
    <w:rsid w:val="00881BE4"/>
    <w:rsid w:val="008D0F5B"/>
    <w:rsid w:val="00930E65"/>
    <w:rsid w:val="00981F70"/>
    <w:rsid w:val="00AB0D79"/>
    <w:rsid w:val="00B157CB"/>
    <w:rsid w:val="00D4384D"/>
    <w:rsid w:val="00DC4ACB"/>
    <w:rsid w:val="00DF11B4"/>
    <w:rsid w:val="00E113B0"/>
    <w:rsid w:val="00E3222E"/>
    <w:rsid w:val="00EE23E2"/>
    <w:rsid w:val="00F3264B"/>
    <w:rsid w:val="00F53E6E"/>
    <w:rsid w:val="00FA5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6DA2F"/>
  <w15:chartTrackingRefBased/>
  <w15:docId w15:val="{AC2A31EA-79D2-4162-ABEA-4552CCBB2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4B6"/>
    <w:pPr>
      <w:spacing w:after="0" w:line="240" w:lineRule="auto"/>
    </w:pPr>
    <w:rPr>
      <w:rFonts w:ascii=".VnTime" w:eastAsia="Times New Roman" w:hAnsi=".VnTime" w:cs="Times New Roman"/>
      <w:kern w:val="0"/>
      <w:sz w:val="28"/>
      <w:szCs w:val="24"/>
      <w14:ligatures w14:val="none"/>
    </w:rPr>
  </w:style>
  <w:style w:type="paragraph" w:styleId="Heading1">
    <w:name w:val="heading 1"/>
    <w:basedOn w:val="Normal"/>
    <w:next w:val="Normal"/>
    <w:link w:val="Heading1Char"/>
    <w:uiPriority w:val="9"/>
    <w:qFormat/>
    <w:rsid w:val="005E54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E54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E54B6"/>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unhideWhenUsed/>
    <w:qFormat/>
    <w:rsid w:val="005E54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E54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E54B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54B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54B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54B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54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E54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E54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5E54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E54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E54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54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54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54B6"/>
    <w:rPr>
      <w:rFonts w:eastAsiaTheme="majorEastAsia" w:cstheme="majorBidi"/>
      <w:color w:val="272727" w:themeColor="text1" w:themeTint="D8"/>
    </w:rPr>
  </w:style>
  <w:style w:type="paragraph" w:styleId="Title">
    <w:name w:val="Title"/>
    <w:basedOn w:val="Normal"/>
    <w:next w:val="Normal"/>
    <w:link w:val="TitleChar"/>
    <w:uiPriority w:val="10"/>
    <w:qFormat/>
    <w:rsid w:val="005E54B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4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4B6"/>
    <w:pPr>
      <w:numPr>
        <w:ilvl w:val="1"/>
      </w:numPr>
      <w:spacing w:after="160"/>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5E54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54B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E54B6"/>
    <w:rPr>
      <w:i/>
      <w:iCs/>
      <w:color w:val="404040" w:themeColor="text1" w:themeTint="BF"/>
    </w:rPr>
  </w:style>
  <w:style w:type="paragraph" w:styleId="ListParagraph">
    <w:name w:val="List Paragraph"/>
    <w:basedOn w:val="Normal"/>
    <w:uiPriority w:val="34"/>
    <w:qFormat/>
    <w:rsid w:val="005E54B6"/>
    <w:pPr>
      <w:ind w:left="720"/>
      <w:contextualSpacing/>
    </w:pPr>
  </w:style>
  <w:style w:type="character" w:styleId="IntenseEmphasis">
    <w:name w:val="Intense Emphasis"/>
    <w:basedOn w:val="DefaultParagraphFont"/>
    <w:uiPriority w:val="21"/>
    <w:qFormat/>
    <w:rsid w:val="005E54B6"/>
    <w:rPr>
      <w:i/>
      <w:iCs/>
      <w:color w:val="2F5496" w:themeColor="accent1" w:themeShade="BF"/>
    </w:rPr>
  </w:style>
  <w:style w:type="paragraph" w:styleId="IntenseQuote">
    <w:name w:val="Intense Quote"/>
    <w:basedOn w:val="Normal"/>
    <w:next w:val="Normal"/>
    <w:link w:val="IntenseQuoteChar"/>
    <w:uiPriority w:val="30"/>
    <w:qFormat/>
    <w:rsid w:val="005E54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54B6"/>
    <w:rPr>
      <w:i/>
      <w:iCs/>
      <w:color w:val="2F5496" w:themeColor="accent1" w:themeShade="BF"/>
    </w:rPr>
  </w:style>
  <w:style w:type="character" w:styleId="IntenseReference">
    <w:name w:val="Intense Reference"/>
    <w:basedOn w:val="DefaultParagraphFont"/>
    <w:uiPriority w:val="32"/>
    <w:qFormat/>
    <w:rsid w:val="005E54B6"/>
    <w:rPr>
      <w:b/>
      <w:bCs/>
      <w:smallCaps/>
      <w:color w:val="2F5496" w:themeColor="accent1" w:themeShade="BF"/>
      <w:spacing w:val="5"/>
    </w:rPr>
  </w:style>
  <w:style w:type="paragraph" w:styleId="Caption">
    <w:name w:val="caption"/>
    <w:basedOn w:val="Normal"/>
    <w:next w:val="Normal"/>
    <w:autoRedefine/>
    <w:uiPriority w:val="35"/>
    <w:unhideWhenUsed/>
    <w:qFormat/>
    <w:rsid w:val="005E54B6"/>
    <w:pPr>
      <w:spacing w:before="120" w:after="200"/>
      <w:jc w:val="center"/>
    </w:pPr>
    <w:rPr>
      <w:i/>
      <w:iCs/>
      <w:szCs w:val="18"/>
    </w:rPr>
  </w:style>
  <w:style w:type="paragraph" w:styleId="BodyText">
    <w:name w:val="Body Text"/>
    <w:basedOn w:val="Normal"/>
    <w:link w:val="BodyTextChar"/>
    <w:rsid w:val="005E54B6"/>
    <w:pPr>
      <w:jc w:val="center"/>
    </w:pPr>
    <w:rPr>
      <w:rFonts w:ascii=".VnTimeH" w:hAnsi=".VnTimeH"/>
    </w:rPr>
  </w:style>
  <w:style w:type="character" w:customStyle="1" w:styleId="BodyTextChar">
    <w:name w:val="Body Text Char"/>
    <w:basedOn w:val="DefaultParagraphFont"/>
    <w:link w:val="BodyText"/>
    <w:rsid w:val="005E54B6"/>
    <w:rPr>
      <w:rFonts w:ascii=".VnTimeH" w:eastAsia="Times New Roman" w:hAnsi=".VnTimeH" w:cs="Times New Roman"/>
      <w:kern w:val="0"/>
      <w:sz w:val="28"/>
      <w:szCs w:val="24"/>
      <w14:ligatures w14:val="none"/>
    </w:rPr>
  </w:style>
  <w:style w:type="character" w:styleId="PageNumber">
    <w:name w:val="page number"/>
    <w:basedOn w:val="DefaultParagraphFont"/>
    <w:rsid w:val="005E54B6"/>
  </w:style>
  <w:style w:type="paragraph" w:styleId="Footer">
    <w:name w:val="footer"/>
    <w:basedOn w:val="Normal"/>
    <w:link w:val="FooterChar"/>
    <w:uiPriority w:val="99"/>
    <w:rsid w:val="005E54B6"/>
    <w:pPr>
      <w:tabs>
        <w:tab w:val="center" w:pos="4320"/>
        <w:tab w:val="right" w:pos="8640"/>
      </w:tabs>
    </w:pPr>
  </w:style>
  <w:style w:type="character" w:customStyle="1" w:styleId="FooterChar">
    <w:name w:val="Footer Char"/>
    <w:basedOn w:val="DefaultParagraphFont"/>
    <w:link w:val="Footer"/>
    <w:uiPriority w:val="99"/>
    <w:rsid w:val="005E54B6"/>
    <w:rPr>
      <w:rFonts w:ascii=".VnTime" w:eastAsia="Times New Roman" w:hAnsi=".VnTime" w:cs="Times New Roman"/>
      <w:kern w:val="0"/>
      <w:sz w:val="28"/>
      <w:szCs w:val="24"/>
      <w14:ligatures w14:val="none"/>
    </w:rPr>
  </w:style>
  <w:style w:type="paragraph" w:styleId="Header">
    <w:name w:val="header"/>
    <w:basedOn w:val="Normal"/>
    <w:link w:val="HeaderChar"/>
    <w:uiPriority w:val="99"/>
    <w:rsid w:val="005E54B6"/>
    <w:pPr>
      <w:tabs>
        <w:tab w:val="center" w:pos="4320"/>
        <w:tab w:val="right" w:pos="8640"/>
      </w:tabs>
    </w:pPr>
  </w:style>
  <w:style w:type="character" w:customStyle="1" w:styleId="HeaderChar">
    <w:name w:val="Header Char"/>
    <w:basedOn w:val="DefaultParagraphFont"/>
    <w:link w:val="Header"/>
    <w:uiPriority w:val="99"/>
    <w:rsid w:val="005E54B6"/>
    <w:rPr>
      <w:rFonts w:ascii=".VnTime" w:eastAsia="Times New Roman" w:hAnsi=".VnTime" w:cs="Times New Roman"/>
      <w:kern w:val="0"/>
      <w:sz w:val="28"/>
      <w:szCs w:val="24"/>
      <w14:ligatures w14:val="none"/>
    </w:rPr>
  </w:style>
  <w:style w:type="table" w:styleId="TableGrid">
    <w:name w:val="Table Grid"/>
    <w:basedOn w:val="TableNormal"/>
    <w:uiPriority w:val="39"/>
    <w:rsid w:val="005E5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E54B6"/>
    <w:rPr>
      <w:rFonts w:ascii="Times New Roman" w:eastAsiaTheme="minorHAnsi" w:hAnsi="Times New Roman" w:cstheme="minorBidi"/>
      <w:sz w:val="20"/>
      <w:szCs w:val="20"/>
    </w:rPr>
  </w:style>
  <w:style w:type="character" w:customStyle="1" w:styleId="FootnoteTextChar">
    <w:name w:val="Footnote Text Char"/>
    <w:basedOn w:val="DefaultParagraphFont"/>
    <w:link w:val="FootnoteText"/>
    <w:uiPriority w:val="99"/>
    <w:semiHidden/>
    <w:rsid w:val="005E54B6"/>
    <w:rPr>
      <w:rFonts w:ascii="Times New Roman" w:hAnsi="Times New Roman"/>
      <w:kern w:val="0"/>
      <w:sz w:val="20"/>
      <w:szCs w:val="20"/>
      <w14:ligatures w14:val="none"/>
    </w:rPr>
  </w:style>
  <w:style w:type="character" w:styleId="FootnoteReference">
    <w:name w:val="footnote reference"/>
    <w:basedOn w:val="DefaultParagraphFont"/>
    <w:uiPriority w:val="99"/>
    <w:semiHidden/>
    <w:unhideWhenUsed/>
    <w:rsid w:val="005E54B6"/>
    <w:rPr>
      <w:vertAlign w:val="superscript"/>
    </w:rPr>
  </w:style>
  <w:style w:type="paragraph" w:styleId="NormalWeb">
    <w:name w:val="Normal (Web)"/>
    <w:aliases w:val=" 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qFormat/>
    <w:rsid w:val="005E54B6"/>
    <w:pPr>
      <w:spacing w:before="100" w:beforeAutospacing="1" w:after="100" w:afterAutospacing="1"/>
    </w:pPr>
    <w:rPr>
      <w:rFonts w:ascii="Times New Roman" w:eastAsia="SimSun" w:hAnsi="Times New Roman"/>
      <w:sz w:val="24"/>
    </w:rPr>
  </w:style>
  <w:style w:type="character" w:styleId="Hyperlink">
    <w:name w:val="Hyperlink"/>
    <w:basedOn w:val="DefaultParagraphFont"/>
    <w:uiPriority w:val="99"/>
    <w:semiHidden/>
    <w:unhideWhenUsed/>
    <w:rsid w:val="005E54B6"/>
    <w:rPr>
      <w:color w:val="0000FF"/>
      <w:u w:val="single"/>
    </w:rPr>
  </w:style>
  <w:style w:type="character" w:styleId="Emphasis">
    <w:name w:val="Emphasis"/>
    <w:uiPriority w:val="20"/>
    <w:qFormat/>
    <w:rsid w:val="005E54B6"/>
    <w:rPr>
      <w:i/>
      <w:iCs/>
    </w:rPr>
  </w:style>
  <w:style w:type="character" w:styleId="Strong">
    <w:name w:val="Strong"/>
    <w:basedOn w:val="DefaultParagraphFont"/>
    <w:uiPriority w:val="22"/>
    <w:qFormat/>
    <w:rsid w:val="005E54B6"/>
    <w:rPr>
      <w:b/>
      <w:bCs/>
    </w:rPr>
  </w:style>
  <w:style w:type="character" w:customStyle="1" w:styleId="fontstyle01">
    <w:name w:val="fontstyle01"/>
    <w:basedOn w:val="DefaultParagraphFont"/>
    <w:rsid w:val="005E54B6"/>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5E54B6"/>
    <w:rPr>
      <w:rFonts w:ascii="TimesNewRomanPSMT" w:hAnsi="TimesNewRomanPSMT" w:hint="default"/>
      <w:b w:val="0"/>
      <w:bCs w:val="0"/>
      <w:i w:val="0"/>
      <w:iCs w:val="0"/>
      <w:color w:val="000000"/>
      <w:sz w:val="28"/>
      <w:szCs w:val="28"/>
    </w:rPr>
  </w:style>
  <w:style w:type="character" w:customStyle="1" w:styleId="NormalWebChar">
    <w:name w:val="Normal (Web) Char"/>
    <w:aliases w:val=" 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5E54B6"/>
    <w:rPr>
      <w:rFonts w:ascii="Times New Roman" w:eastAsia="SimSu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3260F-E095-4323-A308-4BA57416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50000</Words>
  <Characters>285002</Characters>
  <Application>Microsoft Office Word</Application>
  <DocSecurity>0</DocSecurity>
  <Lines>2375</Lines>
  <Paragraphs>668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Tra</cp:lastModifiedBy>
  <cp:revision>10</cp:revision>
  <dcterms:created xsi:type="dcterms:W3CDTF">2026-05-14T15:11:00Z</dcterms:created>
  <dcterms:modified xsi:type="dcterms:W3CDTF">2026-05-15T09:07:00Z</dcterms:modified>
</cp:coreProperties>
</file>